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ECA55" w14:textId="233189EF" w:rsidR="00813404" w:rsidRDefault="003E6E12" w:rsidP="004E2F4D">
      <w:pPr>
        <w:spacing w:before="240" w:after="240" w:line="240" w:lineRule="atLeast"/>
        <w:jc w:val="center"/>
        <w:rPr>
          <w:rStyle w:val="Strong"/>
          <w:rFonts w:ascii="Segoe UI" w:eastAsia="DengXian" w:hAnsi="Segoe UI" w:cs="Segoe UI"/>
          <w:sz w:val="28"/>
          <w:szCs w:val="28"/>
          <w:bdr w:val="none" w:sz="0" w:space="0" w:color="auto" w:frame="1"/>
          <w:shd w:val="clear" w:color="auto" w:fill="FFFFFF"/>
        </w:rPr>
      </w:pPr>
      <w:r w:rsidRPr="00E66F6B">
        <w:rPr>
          <w:rStyle w:val="Strong"/>
          <w:rFonts w:ascii="Segoe UI" w:eastAsia="DengXian" w:hAnsi="Segoe UI" w:cs="Segoe UI"/>
          <w:sz w:val="28"/>
          <w:szCs w:val="28"/>
          <w:bdr w:val="none" w:sz="0" w:space="0" w:color="auto" w:frame="1"/>
          <w:shd w:val="clear" w:color="auto" w:fill="FFFFFF"/>
        </w:rPr>
        <w:t>Excelerate Multi Asset Income Fund</w:t>
      </w:r>
    </w:p>
    <w:p w14:paraId="62377115" w14:textId="31FF32C1" w:rsidR="00147065" w:rsidRPr="00780B91" w:rsidRDefault="003E6E12" w:rsidP="004E2F4D">
      <w:pPr>
        <w:spacing w:before="240" w:after="240" w:line="240" w:lineRule="atLeast"/>
        <w:jc w:val="center"/>
        <w:rPr>
          <w:rFonts w:ascii="Segoe UI" w:hAnsi="Segoe UI" w:cs="Segoe UI"/>
          <w:b/>
          <w:bCs/>
          <w:sz w:val="28"/>
          <w:szCs w:val="28"/>
          <w:bdr w:val="none" w:sz="0" w:space="0" w:color="auto" w:frame="1"/>
          <w:shd w:val="clear" w:color="auto" w:fill="FFFFFF"/>
        </w:rPr>
      </w:pPr>
      <w:r w:rsidRPr="00E66F6B">
        <w:rPr>
          <w:rStyle w:val="Strong"/>
          <w:rFonts w:ascii="微軟正黑體" w:eastAsia="微軟正黑體" w:hAnsi="微軟正黑體" w:cs="微軟正黑體" w:hint="eastAsia"/>
          <w:sz w:val="28"/>
          <w:szCs w:val="28"/>
          <w:bdr w:val="none" w:sz="0" w:space="0" w:color="auto" w:frame="1"/>
          <w:shd w:val="clear" w:color="auto" w:fill="FFFFFF"/>
        </w:rPr>
        <w:t>卓思多元资产收益基金</w:t>
      </w:r>
    </w:p>
    <w:tbl>
      <w:tblPr>
        <w:tblStyle w:val="TableGrid"/>
        <w:tblW w:w="10513" w:type="dxa"/>
        <w:tblLook w:val="04A0" w:firstRow="1" w:lastRow="0" w:firstColumn="1" w:lastColumn="0" w:noHBand="0" w:noVBand="1"/>
      </w:tblPr>
      <w:tblGrid>
        <w:gridCol w:w="1751"/>
        <w:gridCol w:w="3064"/>
        <w:gridCol w:w="5698"/>
      </w:tblGrid>
      <w:tr w:rsidR="001E5831" w14:paraId="46C6ACC3" w14:textId="77777777" w:rsidTr="004F1CBC">
        <w:tc>
          <w:tcPr>
            <w:tcW w:w="10513" w:type="dxa"/>
            <w:gridSpan w:val="3"/>
          </w:tcPr>
          <w:p w14:paraId="5C30ADD5" w14:textId="73D05752" w:rsidR="00B64A5E" w:rsidRDefault="00B64A5E" w:rsidP="00B64A5E">
            <w:pPr>
              <w:jc w:val="center"/>
              <w:rPr>
                <w:b/>
                <w:bCs/>
                <w:sz w:val="20"/>
                <w:szCs w:val="20"/>
                <w:lang w:val="en" w:eastAsia="zh-TW"/>
              </w:rPr>
            </w:pPr>
            <w:r w:rsidRPr="00B64A5E">
              <w:rPr>
                <w:b/>
                <w:bCs/>
                <w:sz w:val="20"/>
                <w:szCs w:val="20"/>
                <w:lang w:val="en" w:eastAsia="zh-TW"/>
              </w:rPr>
              <w:t xml:space="preserve">This summary provides you with important information about this product </w:t>
            </w:r>
          </w:p>
          <w:p w14:paraId="5289BB97" w14:textId="5BFC3689" w:rsidR="00B64A5E" w:rsidRDefault="00B64A5E" w:rsidP="00B64A5E">
            <w:pPr>
              <w:jc w:val="center"/>
              <w:rPr>
                <w:b/>
                <w:bCs/>
                <w:sz w:val="20"/>
                <w:szCs w:val="20"/>
                <w:lang w:val="en" w:eastAsia="zh-TW"/>
              </w:rPr>
            </w:pPr>
            <w:r w:rsidRPr="00B64A5E">
              <w:rPr>
                <w:b/>
                <w:bCs/>
                <w:sz w:val="20"/>
                <w:szCs w:val="20"/>
                <w:lang w:val="en" w:eastAsia="zh-TW"/>
              </w:rPr>
              <w:t xml:space="preserve">This summary is part of the sales document </w:t>
            </w:r>
          </w:p>
          <w:p w14:paraId="37440027" w14:textId="1AB2E4B2" w:rsidR="001E5831" w:rsidRPr="00B64A5E" w:rsidRDefault="00B64A5E" w:rsidP="00B64A5E">
            <w:pPr>
              <w:jc w:val="center"/>
              <w:rPr>
                <w:lang w:val="en-HK" w:eastAsia="zh-TW"/>
              </w:rPr>
            </w:pPr>
            <w:r w:rsidRPr="00B64A5E">
              <w:rPr>
                <w:b/>
                <w:bCs/>
                <w:sz w:val="20"/>
                <w:szCs w:val="20"/>
                <w:lang w:val="en" w:eastAsia="zh-TW"/>
              </w:rPr>
              <w:t>You should not invest in this product solely based on this summary</w:t>
            </w:r>
          </w:p>
        </w:tc>
      </w:tr>
      <w:tr w:rsidR="000E1D74" w:rsidRPr="00FB51D3" w14:paraId="4A1B8961" w14:textId="77777777" w:rsidTr="004F1CBC">
        <w:tc>
          <w:tcPr>
            <w:tcW w:w="1751" w:type="dxa"/>
          </w:tcPr>
          <w:p w14:paraId="2558B331" w14:textId="1121BEA9" w:rsidR="000E1D74" w:rsidRPr="004E1C69" w:rsidRDefault="000E1D74" w:rsidP="004E1C69">
            <w:pPr>
              <w:jc w:val="left"/>
              <w:rPr>
                <w:rFonts w:hint="eastAsia"/>
                <w:b/>
                <w:bCs/>
              </w:rPr>
            </w:pPr>
            <w:r>
              <w:rPr>
                <w:rFonts w:hint="eastAsia"/>
                <w:b/>
                <w:bCs/>
              </w:rPr>
              <w:t>Fact Sheet</w:t>
            </w:r>
          </w:p>
        </w:tc>
        <w:tc>
          <w:tcPr>
            <w:tcW w:w="8762" w:type="dxa"/>
            <w:gridSpan w:val="2"/>
          </w:tcPr>
          <w:p w14:paraId="56DF2858" w14:textId="77777777" w:rsidR="000E1D74" w:rsidRPr="006B6894" w:rsidRDefault="000E1D74" w:rsidP="00AE656C">
            <w:pPr>
              <w:pStyle w:val="Footer"/>
              <w:rPr>
                <w:rFonts w:eastAsia="DengXian"/>
                <w:sz w:val="22"/>
              </w:rPr>
            </w:pPr>
          </w:p>
        </w:tc>
      </w:tr>
      <w:tr w:rsidR="00AE656C" w:rsidRPr="00FB51D3" w14:paraId="0E7D9D60" w14:textId="77777777" w:rsidTr="004F1CBC">
        <w:tc>
          <w:tcPr>
            <w:tcW w:w="1751" w:type="dxa"/>
          </w:tcPr>
          <w:p w14:paraId="016DED69" w14:textId="2600B02A" w:rsidR="00AE656C" w:rsidRPr="004E1C69" w:rsidRDefault="00B64A5E" w:rsidP="004E1C69">
            <w:pPr>
              <w:jc w:val="left"/>
              <w:rPr>
                <w:b/>
                <w:bCs/>
                <w:lang w:eastAsia="zh-TW"/>
              </w:rPr>
            </w:pPr>
            <w:r w:rsidRPr="004E1C69">
              <w:rPr>
                <w:rFonts w:hint="eastAsia"/>
                <w:b/>
                <w:bCs/>
              </w:rPr>
              <w:t>Management Company</w:t>
            </w:r>
          </w:p>
        </w:tc>
        <w:tc>
          <w:tcPr>
            <w:tcW w:w="8762" w:type="dxa"/>
            <w:gridSpan w:val="2"/>
          </w:tcPr>
          <w:p w14:paraId="45E21CF4" w14:textId="78B23628" w:rsidR="00AE656C" w:rsidRPr="006B6894" w:rsidRDefault="003E6E12" w:rsidP="00AE656C">
            <w:pPr>
              <w:pStyle w:val="Footer"/>
              <w:rPr>
                <w:sz w:val="22"/>
                <w:szCs w:val="22"/>
                <w:lang w:eastAsia="zh-TW"/>
              </w:rPr>
            </w:pPr>
            <w:r w:rsidRPr="006B6894">
              <w:rPr>
                <w:rFonts w:eastAsia="DengXian"/>
                <w:sz w:val="22"/>
              </w:rPr>
              <w:t>Excelerate Fund Management Limited</w:t>
            </w:r>
          </w:p>
        </w:tc>
      </w:tr>
      <w:tr w:rsidR="00813404" w14:paraId="3602B59C" w14:textId="77777777" w:rsidTr="004F1CBC">
        <w:trPr>
          <w:trHeight w:val="185"/>
        </w:trPr>
        <w:tc>
          <w:tcPr>
            <w:tcW w:w="1751" w:type="dxa"/>
            <w:noWrap/>
            <w:hideMark/>
          </w:tcPr>
          <w:p w14:paraId="494C55F7" w14:textId="77777777" w:rsidR="00813404" w:rsidRPr="004E1C69" w:rsidRDefault="00813404" w:rsidP="004E1C69">
            <w:pPr>
              <w:widowControl/>
              <w:jc w:val="left"/>
              <w:rPr>
                <w:rFonts w:ascii="DengXian" w:eastAsia="DengXian" w:hAnsi="DengXian"/>
                <w:b/>
                <w:bCs/>
                <w:color w:val="FFFFFF"/>
                <w:sz w:val="22"/>
              </w:rPr>
            </w:pPr>
            <w:r w:rsidRPr="004E1C69">
              <w:rPr>
                <w:rFonts w:ascii="DengXian" w:eastAsia="DengXian" w:hAnsi="DengXian" w:hint="eastAsia"/>
                <w:b/>
                <w:bCs/>
                <w:color w:val="FFFFFF"/>
                <w:sz w:val="22"/>
              </w:rPr>
              <w:t>基金要素</w:t>
            </w:r>
          </w:p>
        </w:tc>
        <w:tc>
          <w:tcPr>
            <w:tcW w:w="8762" w:type="dxa"/>
            <w:gridSpan w:val="2"/>
            <w:noWrap/>
            <w:hideMark/>
          </w:tcPr>
          <w:p w14:paraId="108AC05F" w14:textId="20295455" w:rsidR="00813404" w:rsidRDefault="003E6E12" w:rsidP="00813404">
            <w:pPr>
              <w:rPr>
                <w:rFonts w:ascii="DengXian" w:eastAsia="DengXian" w:hAnsi="DengXian"/>
                <w:color w:val="FFFFFF"/>
                <w:sz w:val="22"/>
              </w:rPr>
            </w:pPr>
            <w:r>
              <w:rPr>
                <w:rFonts w:hint="eastAsia"/>
                <w:sz w:val="22"/>
                <w:lang w:eastAsia="zh-TW"/>
              </w:rPr>
              <w:t>卓思基金管理有限公司</w:t>
            </w:r>
          </w:p>
        </w:tc>
      </w:tr>
      <w:tr w:rsidR="00813404" w14:paraId="5E9AD2BF" w14:textId="77777777" w:rsidTr="004F1CBC">
        <w:trPr>
          <w:trHeight w:val="181"/>
        </w:trPr>
        <w:tc>
          <w:tcPr>
            <w:tcW w:w="1751" w:type="dxa"/>
            <w:noWrap/>
            <w:hideMark/>
          </w:tcPr>
          <w:p w14:paraId="20FDE4E3" w14:textId="13449437" w:rsidR="00813404" w:rsidRPr="004E1C69" w:rsidRDefault="00B64A5E" w:rsidP="004E1C69">
            <w:pPr>
              <w:jc w:val="left"/>
              <w:rPr>
                <w:rFonts w:ascii="DengXian" w:eastAsia="DengXian" w:hAnsi="DengXian" w:hint="eastAsia"/>
                <w:b/>
                <w:bCs/>
                <w:color w:val="000000"/>
                <w:sz w:val="22"/>
              </w:rPr>
            </w:pPr>
            <w:r w:rsidRPr="004E1C69">
              <w:rPr>
                <w:rFonts w:ascii="DengXian" w:eastAsia="DengXian" w:hAnsi="DengXian" w:hint="eastAsia"/>
                <w:b/>
                <w:bCs/>
                <w:color w:val="000000"/>
                <w:sz w:val="22"/>
              </w:rPr>
              <w:t>Management Fees</w:t>
            </w:r>
          </w:p>
        </w:tc>
        <w:tc>
          <w:tcPr>
            <w:tcW w:w="8762" w:type="dxa"/>
            <w:gridSpan w:val="2"/>
            <w:noWrap/>
            <w:hideMark/>
          </w:tcPr>
          <w:p w14:paraId="47428951" w14:textId="27FE976D" w:rsidR="00813404" w:rsidRPr="00B64A5E" w:rsidRDefault="00B64A5E" w:rsidP="00813404">
            <w:pPr>
              <w:rPr>
                <w:rFonts w:hint="eastAsia"/>
                <w:lang w:val="en-HK"/>
              </w:rPr>
            </w:pPr>
            <w:r w:rsidRPr="00B64A5E">
              <w:rPr>
                <w:lang w:val="en"/>
              </w:rPr>
              <w:t>1% per annum, calculated based on the fund's net asset value</w:t>
            </w:r>
            <w:r>
              <w:rPr>
                <w:rFonts w:hint="eastAsia"/>
                <w:lang w:val="en"/>
              </w:rPr>
              <w:t xml:space="preserve"> (NAV)</w:t>
            </w:r>
          </w:p>
        </w:tc>
      </w:tr>
      <w:tr w:rsidR="00813404" w14:paraId="1D923944" w14:textId="77777777" w:rsidTr="004F1CBC">
        <w:trPr>
          <w:trHeight w:val="181"/>
        </w:trPr>
        <w:tc>
          <w:tcPr>
            <w:tcW w:w="1751" w:type="dxa"/>
            <w:vMerge w:val="restart"/>
            <w:noWrap/>
            <w:hideMark/>
          </w:tcPr>
          <w:p w14:paraId="7493DFEC" w14:textId="6F9C680A" w:rsidR="00813404" w:rsidRPr="004E1C69" w:rsidRDefault="00B64A5E" w:rsidP="004E1C69">
            <w:pPr>
              <w:jc w:val="left"/>
              <w:rPr>
                <w:rFonts w:ascii="DengXian" w:eastAsia="DengXian" w:hAnsi="DengXian"/>
                <w:b/>
                <w:bCs/>
                <w:color w:val="000000"/>
                <w:sz w:val="22"/>
                <w:lang w:val="en"/>
              </w:rPr>
            </w:pPr>
            <w:r w:rsidRPr="00B64A5E">
              <w:rPr>
                <w:rFonts w:ascii="DengXian" w:eastAsia="DengXian" w:hAnsi="DengXian"/>
                <w:b/>
                <w:bCs/>
                <w:color w:val="000000"/>
                <w:sz w:val="22"/>
                <w:lang w:val="en"/>
              </w:rPr>
              <w:t>Performance</w:t>
            </w:r>
            <w:r w:rsidRPr="004E1C69">
              <w:rPr>
                <w:rFonts w:ascii="DengXian" w:eastAsia="DengXian" w:hAnsi="DengXian" w:hint="eastAsia"/>
                <w:b/>
                <w:bCs/>
                <w:color w:val="000000"/>
                <w:sz w:val="22"/>
                <w:lang w:val="en"/>
              </w:rPr>
              <w:t xml:space="preserve"> Fees </w:t>
            </w:r>
            <w:r w:rsidRPr="00B64A5E">
              <w:rPr>
                <w:rFonts w:ascii="DengXian" w:eastAsia="DengXian" w:hAnsi="DengXian"/>
                <w:b/>
                <w:bCs/>
                <w:color w:val="000000"/>
                <w:sz w:val="22"/>
                <w:lang w:val="en"/>
              </w:rPr>
              <w:t>(after deducting management fees)</w:t>
            </w:r>
          </w:p>
        </w:tc>
        <w:tc>
          <w:tcPr>
            <w:tcW w:w="3064" w:type="dxa"/>
            <w:vMerge w:val="restart"/>
            <w:noWrap/>
            <w:hideMark/>
          </w:tcPr>
          <w:p w14:paraId="6CA512F3" w14:textId="16B4D23A" w:rsidR="00B64A5E" w:rsidRPr="00B64A5E" w:rsidRDefault="00B64A5E" w:rsidP="004E1C69">
            <w:pPr>
              <w:jc w:val="left"/>
              <w:rPr>
                <w:rFonts w:ascii="DengXian" w:eastAsia="DengXian" w:hAnsi="DengXian"/>
                <w:color w:val="000000"/>
                <w:sz w:val="22"/>
                <w:lang w:val="en-HK"/>
              </w:rPr>
            </w:pPr>
            <w:r w:rsidRPr="00B64A5E">
              <w:rPr>
                <w:rFonts w:ascii="DengXian" w:eastAsia="DengXian" w:hAnsi="DengXian"/>
                <w:color w:val="000000"/>
                <w:sz w:val="22"/>
                <w:lang w:val="en"/>
              </w:rPr>
              <w:t xml:space="preserve">Annual fund </w:t>
            </w:r>
            <w:r>
              <w:rPr>
                <w:rFonts w:ascii="DengXian" w:eastAsia="DengXian" w:hAnsi="DengXian" w:hint="eastAsia"/>
                <w:color w:val="000000"/>
                <w:sz w:val="22"/>
                <w:lang w:val="en"/>
              </w:rPr>
              <w:t xml:space="preserve">NAV </w:t>
            </w:r>
            <w:r w:rsidRPr="00B64A5E">
              <w:rPr>
                <w:rFonts w:ascii="DengXian" w:eastAsia="DengXian" w:hAnsi="DengXian"/>
                <w:color w:val="000000"/>
                <w:sz w:val="22"/>
                <w:lang w:val="en"/>
              </w:rPr>
              <w:t>growth rate</w:t>
            </w:r>
          </w:p>
          <w:p w14:paraId="68024835" w14:textId="2D5D3ACA" w:rsidR="00813404" w:rsidRDefault="00813404" w:rsidP="004E1C69">
            <w:pPr>
              <w:jc w:val="left"/>
              <w:rPr>
                <w:rFonts w:ascii="DengXian" w:eastAsia="DengXian" w:hAnsi="DengXian"/>
                <w:color w:val="000000"/>
                <w:sz w:val="22"/>
              </w:rPr>
            </w:pPr>
          </w:p>
        </w:tc>
        <w:tc>
          <w:tcPr>
            <w:tcW w:w="5698" w:type="dxa"/>
            <w:noWrap/>
            <w:hideMark/>
          </w:tcPr>
          <w:p w14:paraId="3A99139D" w14:textId="3EEE0C15" w:rsidR="00813404" w:rsidRDefault="00B64A5E" w:rsidP="00813404">
            <w:pPr>
              <w:rPr>
                <w:rFonts w:ascii="DengXian" w:eastAsia="DengXian" w:hAnsi="DengXian"/>
                <w:color w:val="000000"/>
                <w:sz w:val="22"/>
              </w:rPr>
            </w:pPr>
            <w:r w:rsidRPr="00B64A5E">
              <w:rPr>
                <w:rFonts w:ascii="DengXian" w:eastAsia="DengXian" w:hAnsi="DengXian"/>
                <w:color w:val="000000"/>
                <w:sz w:val="22"/>
              </w:rPr>
              <w:t>If the return is greater than 5.55%, 10% of the total return will be withdrawn</w:t>
            </w:r>
            <w:r w:rsidR="00813404" w:rsidRPr="00E66F6B">
              <w:rPr>
                <w:rFonts w:ascii="DengXian" w:eastAsia="DengXian" w:hAnsi="DengXian" w:hint="eastAsia"/>
                <w:color w:val="000000"/>
                <w:sz w:val="22"/>
              </w:rPr>
              <w:t>；</w:t>
            </w:r>
          </w:p>
        </w:tc>
      </w:tr>
      <w:tr w:rsidR="00813404" w14:paraId="7F280F9D" w14:textId="77777777" w:rsidTr="004F1CBC">
        <w:trPr>
          <w:trHeight w:val="181"/>
        </w:trPr>
        <w:tc>
          <w:tcPr>
            <w:tcW w:w="1751" w:type="dxa"/>
            <w:vMerge/>
            <w:hideMark/>
          </w:tcPr>
          <w:p w14:paraId="0DABA745" w14:textId="77777777" w:rsidR="00813404" w:rsidRPr="004E1C69" w:rsidRDefault="00813404" w:rsidP="004E1C69">
            <w:pPr>
              <w:jc w:val="left"/>
              <w:rPr>
                <w:rFonts w:ascii="DengXian" w:eastAsia="DengXian" w:hAnsi="DengXian" w:cs="SimSun"/>
                <w:b/>
                <w:bCs/>
                <w:color w:val="000000"/>
                <w:sz w:val="22"/>
              </w:rPr>
            </w:pPr>
          </w:p>
        </w:tc>
        <w:tc>
          <w:tcPr>
            <w:tcW w:w="3064" w:type="dxa"/>
            <w:vMerge/>
            <w:hideMark/>
          </w:tcPr>
          <w:p w14:paraId="0D3CB313" w14:textId="77777777" w:rsidR="00813404" w:rsidRDefault="00813404" w:rsidP="00813404">
            <w:pPr>
              <w:rPr>
                <w:rFonts w:ascii="DengXian" w:eastAsia="DengXian" w:hAnsi="DengXian" w:cs="SimSun"/>
                <w:color w:val="000000"/>
                <w:sz w:val="22"/>
              </w:rPr>
            </w:pPr>
          </w:p>
        </w:tc>
        <w:tc>
          <w:tcPr>
            <w:tcW w:w="5698" w:type="dxa"/>
            <w:noWrap/>
            <w:hideMark/>
          </w:tcPr>
          <w:p w14:paraId="6CAE8B6F" w14:textId="31D26A3B" w:rsidR="00813404" w:rsidRPr="00B64A5E" w:rsidRDefault="00B64A5E" w:rsidP="00813404">
            <w:pPr>
              <w:rPr>
                <w:rFonts w:ascii="DengXian" w:eastAsia="DengXian" w:hAnsi="DengXian" w:hint="eastAsia"/>
                <w:color w:val="000000"/>
                <w:sz w:val="22"/>
                <w:lang w:val="en"/>
              </w:rPr>
            </w:pPr>
            <w:r w:rsidRPr="00B64A5E">
              <w:rPr>
                <w:rFonts w:ascii="DengXian" w:eastAsia="DengXian" w:hAnsi="DengXian"/>
                <w:color w:val="000000"/>
                <w:sz w:val="22"/>
                <w:lang w:val="en"/>
              </w:rPr>
              <w:t>If the percentage is between 5% and 5.55%, extract 100% of the portion exceeding 5%</w:t>
            </w:r>
            <w:r>
              <w:rPr>
                <w:rFonts w:ascii="DengXian" w:eastAsia="DengXian" w:hAnsi="DengXian" w:hint="eastAsia"/>
                <w:color w:val="000000"/>
                <w:sz w:val="22"/>
                <w:lang w:val="en"/>
              </w:rPr>
              <w:t>.</w:t>
            </w:r>
          </w:p>
        </w:tc>
      </w:tr>
      <w:tr w:rsidR="00813404" w14:paraId="7012579D" w14:textId="77777777" w:rsidTr="004F1CBC">
        <w:trPr>
          <w:trHeight w:val="181"/>
        </w:trPr>
        <w:tc>
          <w:tcPr>
            <w:tcW w:w="1751" w:type="dxa"/>
            <w:vMerge w:val="restart"/>
            <w:noWrap/>
            <w:hideMark/>
          </w:tcPr>
          <w:p w14:paraId="3EEC08A0" w14:textId="6970BB9E" w:rsidR="00813404" w:rsidRPr="004E1C69" w:rsidRDefault="00B64A5E" w:rsidP="004E1C69">
            <w:pPr>
              <w:jc w:val="left"/>
              <w:rPr>
                <w:rFonts w:ascii="DengXian" w:eastAsia="DengXian" w:hAnsi="DengXian"/>
                <w:b/>
                <w:bCs/>
                <w:color w:val="000000"/>
                <w:sz w:val="22"/>
                <w:lang w:val="en-HK"/>
              </w:rPr>
            </w:pPr>
            <w:r w:rsidRPr="00B64A5E">
              <w:rPr>
                <w:rFonts w:ascii="DengXian" w:eastAsia="DengXian" w:hAnsi="DengXian"/>
                <w:b/>
                <w:bCs/>
                <w:color w:val="000000"/>
                <w:sz w:val="22"/>
                <w:lang w:val="en"/>
              </w:rPr>
              <w:t>Subscription amount</w:t>
            </w:r>
          </w:p>
        </w:tc>
        <w:tc>
          <w:tcPr>
            <w:tcW w:w="3064" w:type="dxa"/>
            <w:hideMark/>
          </w:tcPr>
          <w:p w14:paraId="0013AF15" w14:textId="5DDEDE97" w:rsidR="00813404" w:rsidRDefault="00CC4005" w:rsidP="00813404">
            <w:pPr>
              <w:rPr>
                <w:rFonts w:ascii="DengXian" w:eastAsia="DengXian" w:hAnsi="DengXian" w:hint="eastAsia"/>
                <w:color w:val="000000"/>
                <w:sz w:val="22"/>
              </w:rPr>
            </w:pPr>
            <w:r>
              <w:rPr>
                <w:rFonts w:ascii="DengXian" w:eastAsia="DengXian" w:hAnsi="DengXian" w:hint="eastAsia"/>
                <w:color w:val="000000"/>
                <w:sz w:val="22"/>
              </w:rPr>
              <w:t>First Subscription</w:t>
            </w:r>
          </w:p>
        </w:tc>
        <w:tc>
          <w:tcPr>
            <w:tcW w:w="5698" w:type="dxa"/>
            <w:noWrap/>
            <w:hideMark/>
          </w:tcPr>
          <w:p w14:paraId="0E305AA6" w14:textId="1D21E206" w:rsidR="00813404" w:rsidRPr="00CC4005" w:rsidRDefault="00CC4005" w:rsidP="00813404">
            <w:pPr>
              <w:rPr>
                <w:rFonts w:ascii="DengXian" w:eastAsia="DengXian" w:hAnsi="DengXian"/>
                <w:color w:val="000000"/>
                <w:sz w:val="22"/>
                <w:lang w:val="en"/>
              </w:rPr>
            </w:pPr>
            <w:r w:rsidRPr="00CC4005">
              <w:rPr>
                <w:rFonts w:ascii="DengXian" w:eastAsia="DengXian" w:hAnsi="DengXian"/>
                <w:color w:val="000000"/>
                <w:sz w:val="22"/>
                <w:lang w:val="en"/>
              </w:rPr>
              <w:t xml:space="preserve">Starting </w:t>
            </w:r>
            <w:proofErr w:type="gramStart"/>
            <w:r w:rsidRPr="00CC4005">
              <w:rPr>
                <w:rFonts w:ascii="DengXian" w:eastAsia="DengXian" w:hAnsi="DengXian"/>
                <w:color w:val="000000"/>
                <w:sz w:val="22"/>
                <w:lang w:val="en"/>
              </w:rPr>
              <w:t>from</w:t>
            </w:r>
            <w:proofErr w:type="gramEnd"/>
            <w:r w:rsidRPr="00CC4005">
              <w:rPr>
                <w:rFonts w:ascii="DengXian" w:eastAsia="DengXian" w:hAnsi="DengXian"/>
                <w:color w:val="000000"/>
                <w:sz w:val="22"/>
                <w:lang w:val="en"/>
              </w:rPr>
              <w:t xml:space="preserve"> HKD 3 million, or equivalent foreign currency</w:t>
            </w:r>
          </w:p>
        </w:tc>
      </w:tr>
      <w:tr w:rsidR="00813404" w14:paraId="4BA3E12C" w14:textId="77777777" w:rsidTr="004F1CBC">
        <w:trPr>
          <w:trHeight w:val="181"/>
        </w:trPr>
        <w:tc>
          <w:tcPr>
            <w:tcW w:w="1751" w:type="dxa"/>
            <w:vMerge/>
            <w:hideMark/>
          </w:tcPr>
          <w:p w14:paraId="0AB80A35" w14:textId="77777777" w:rsidR="00813404" w:rsidRPr="004E1C69" w:rsidRDefault="00813404" w:rsidP="004E1C69">
            <w:pPr>
              <w:jc w:val="left"/>
              <w:rPr>
                <w:rFonts w:ascii="DengXian" w:eastAsia="DengXian" w:hAnsi="DengXian" w:cs="SimSun"/>
                <w:b/>
                <w:bCs/>
                <w:color w:val="000000"/>
                <w:sz w:val="22"/>
              </w:rPr>
            </w:pPr>
          </w:p>
        </w:tc>
        <w:tc>
          <w:tcPr>
            <w:tcW w:w="3064" w:type="dxa"/>
            <w:noWrap/>
            <w:hideMark/>
          </w:tcPr>
          <w:p w14:paraId="516C515E" w14:textId="7D68F335" w:rsidR="00813404" w:rsidRDefault="00CC4005" w:rsidP="00813404">
            <w:pPr>
              <w:rPr>
                <w:rFonts w:ascii="DengXian" w:eastAsia="DengXian" w:hAnsi="DengXian" w:hint="eastAsia"/>
                <w:color w:val="000000"/>
                <w:sz w:val="22"/>
              </w:rPr>
            </w:pPr>
            <w:r>
              <w:rPr>
                <w:rFonts w:ascii="DengXian" w:eastAsia="DengXian" w:hAnsi="DengXian" w:hint="eastAsia"/>
                <w:color w:val="000000"/>
                <w:sz w:val="22"/>
              </w:rPr>
              <w:t>Additional Subscription</w:t>
            </w:r>
          </w:p>
        </w:tc>
        <w:tc>
          <w:tcPr>
            <w:tcW w:w="5698" w:type="dxa"/>
            <w:noWrap/>
            <w:hideMark/>
          </w:tcPr>
          <w:p w14:paraId="288F9782" w14:textId="283859E8" w:rsidR="00CC4005" w:rsidRPr="00CC4005" w:rsidRDefault="00CC4005" w:rsidP="00CC4005">
            <w:pPr>
              <w:rPr>
                <w:rFonts w:ascii="DengXian" w:eastAsia="DengXian" w:hAnsi="DengXian"/>
                <w:color w:val="000000"/>
                <w:sz w:val="22"/>
                <w:lang w:val="en-HK"/>
              </w:rPr>
            </w:pPr>
            <w:r w:rsidRPr="00CC4005">
              <w:rPr>
                <w:rFonts w:ascii="DengXian" w:eastAsia="DengXian" w:hAnsi="DengXian"/>
                <w:color w:val="000000"/>
                <w:sz w:val="22"/>
                <w:lang w:val="en"/>
              </w:rPr>
              <w:t xml:space="preserve">Starting from HKD </w:t>
            </w:r>
            <w:r>
              <w:rPr>
                <w:rFonts w:ascii="DengXian" w:eastAsia="DengXian" w:hAnsi="DengXian" w:hint="eastAsia"/>
                <w:color w:val="000000"/>
                <w:sz w:val="22"/>
                <w:lang w:val="en"/>
              </w:rPr>
              <w:t>1</w:t>
            </w:r>
            <w:r w:rsidRPr="00CC4005">
              <w:rPr>
                <w:rFonts w:ascii="DengXian" w:eastAsia="DengXian" w:hAnsi="DengXian"/>
                <w:color w:val="000000"/>
                <w:sz w:val="22"/>
                <w:lang w:val="en"/>
              </w:rPr>
              <w:t xml:space="preserve"> million, or equivalent foreign currency</w:t>
            </w:r>
          </w:p>
          <w:p w14:paraId="437A733E" w14:textId="0F6ECBDD" w:rsidR="00813404" w:rsidRDefault="00813404" w:rsidP="00813404">
            <w:pPr>
              <w:rPr>
                <w:rFonts w:ascii="DengXian" w:eastAsia="DengXian" w:hAnsi="DengXian"/>
                <w:color w:val="000000"/>
                <w:sz w:val="22"/>
              </w:rPr>
            </w:pPr>
          </w:p>
        </w:tc>
      </w:tr>
      <w:tr w:rsidR="00813404" w14:paraId="795DE0D6" w14:textId="77777777" w:rsidTr="004F1CBC">
        <w:trPr>
          <w:trHeight w:val="181"/>
        </w:trPr>
        <w:tc>
          <w:tcPr>
            <w:tcW w:w="1751" w:type="dxa"/>
            <w:noWrap/>
            <w:hideMark/>
          </w:tcPr>
          <w:p w14:paraId="6902320B" w14:textId="5D037F82" w:rsidR="00813404" w:rsidRPr="004E1C69" w:rsidRDefault="00CC4005" w:rsidP="004E1C69">
            <w:pPr>
              <w:jc w:val="left"/>
              <w:rPr>
                <w:rFonts w:ascii="DengXian" w:eastAsia="DengXian" w:hAnsi="DengXian"/>
                <w:b/>
                <w:bCs/>
                <w:color w:val="000000"/>
                <w:sz w:val="22"/>
              </w:rPr>
            </w:pPr>
            <w:r>
              <w:rPr>
                <w:rFonts w:ascii="DengXian" w:eastAsia="DengXian" w:hAnsi="DengXian" w:hint="eastAsia"/>
                <w:b/>
                <w:bCs/>
                <w:color w:val="000000"/>
                <w:sz w:val="22"/>
              </w:rPr>
              <w:t>Subscription Fees</w:t>
            </w:r>
          </w:p>
        </w:tc>
        <w:tc>
          <w:tcPr>
            <w:tcW w:w="8762" w:type="dxa"/>
            <w:gridSpan w:val="2"/>
            <w:noWrap/>
            <w:hideMark/>
          </w:tcPr>
          <w:p w14:paraId="425DBE6B" w14:textId="77777777" w:rsidR="00CC4005" w:rsidRPr="00CC4005" w:rsidRDefault="00CC4005" w:rsidP="00CC4005">
            <w:pPr>
              <w:rPr>
                <w:rFonts w:ascii="DengXian" w:eastAsia="DengXian" w:hAnsi="DengXian"/>
                <w:color w:val="000000"/>
                <w:sz w:val="22"/>
                <w:lang w:val="en-HK"/>
              </w:rPr>
            </w:pPr>
            <w:r w:rsidRPr="00CC4005">
              <w:rPr>
                <w:rFonts w:ascii="DengXian" w:eastAsia="DengXian" w:hAnsi="DengXian"/>
                <w:color w:val="000000"/>
                <w:sz w:val="22"/>
                <w:lang w:val="en"/>
              </w:rPr>
              <w:t>Maximum 1.5% (collected upfront)</w:t>
            </w:r>
          </w:p>
          <w:p w14:paraId="1446C0C4" w14:textId="4F3BC0BC" w:rsidR="00813404" w:rsidRDefault="00813404" w:rsidP="00813404">
            <w:pPr>
              <w:rPr>
                <w:rFonts w:ascii="DengXian" w:eastAsia="DengXian" w:hAnsi="DengXian"/>
                <w:color w:val="000000"/>
                <w:sz w:val="22"/>
              </w:rPr>
            </w:pPr>
          </w:p>
        </w:tc>
      </w:tr>
      <w:tr w:rsidR="00813404" w14:paraId="3E5E5F31" w14:textId="77777777" w:rsidTr="004F1CBC">
        <w:trPr>
          <w:trHeight w:val="181"/>
        </w:trPr>
        <w:tc>
          <w:tcPr>
            <w:tcW w:w="1751" w:type="dxa"/>
            <w:noWrap/>
            <w:hideMark/>
          </w:tcPr>
          <w:p w14:paraId="21877671" w14:textId="356292CB" w:rsidR="00813404" w:rsidRPr="004E1C69" w:rsidRDefault="00CC4005" w:rsidP="004E1C69">
            <w:pPr>
              <w:jc w:val="left"/>
              <w:rPr>
                <w:rFonts w:ascii="DengXian" w:eastAsia="DengXian" w:hAnsi="DengXian"/>
                <w:b/>
                <w:bCs/>
                <w:color w:val="000000"/>
                <w:sz w:val="22"/>
              </w:rPr>
            </w:pPr>
            <w:r>
              <w:rPr>
                <w:rFonts w:ascii="DengXian" w:eastAsia="DengXian" w:hAnsi="DengXian" w:hint="eastAsia"/>
                <w:b/>
                <w:bCs/>
                <w:color w:val="000000"/>
                <w:sz w:val="22"/>
              </w:rPr>
              <w:t>Subscription Period</w:t>
            </w:r>
          </w:p>
        </w:tc>
        <w:tc>
          <w:tcPr>
            <w:tcW w:w="8762" w:type="dxa"/>
            <w:gridSpan w:val="2"/>
            <w:noWrap/>
            <w:hideMark/>
          </w:tcPr>
          <w:p w14:paraId="015BAFD0" w14:textId="77777777" w:rsidR="00CC4005" w:rsidRPr="00CC4005" w:rsidRDefault="00CC4005" w:rsidP="00CC4005">
            <w:pPr>
              <w:rPr>
                <w:rFonts w:ascii="DengXian" w:eastAsia="DengXian" w:hAnsi="DengXian"/>
                <w:color w:val="000000"/>
                <w:sz w:val="22"/>
                <w:lang w:val="en-HK"/>
              </w:rPr>
            </w:pPr>
            <w:r w:rsidRPr="00CC4005">
              <w:rPr>
                <w:rFonts w:ascii="DengXian" w:eastAsia="DengXian" w:hAnsi="DengXian"/>
                <w:color w:val="000000"/>
                <w:sz w:val="22"/>
                <w:lang w:val="en"/>
              </w:rPr>
              <w:t>Applications will be closed 10 business days before the last trading day of each month, after 5:00 p.m.</w:t>
            </w:r>
          </w:p>
          <w:p w14:paraId="64D79AE6" w14:textId="5020474A" w:rsidR="00813404" w:rsidRPr="00CC4005" w:rsidRDefault="00813404" w:rsidP="00813404">
            <w:pPr>
              <w:rPr>
                <w:rFonts w:ascii="DengXian" w:eastAsia="DengXian" w:hAnsi="DengXian"/>
                <w:color w:val="000000"/>
                <w:sz w:val="22"/>
                <w:lang w:val="en-HK"/>
              </w:rPr>
            </w:pPr>
          </w:p>
        </w:tc>
      </w:tr>
      <w:tr w:rsidR="00813404" w14:paraId="4282AFCD" w14:textId="77777777" w:rsidTr="004F1CBC">
        <w:trPr>
          <w:trHeight w:val="181"/>
        </w:trPr>
        <w:tc>
          <w:tcPr>
            <w:tcW w:w="1751" w:type="dxa"/>
            <w:noWrap/>
            <w:hideMark/>
          </w:tcPr>
          <w:p w14:paraId="4576BB62" w14:textId="19DD9135" w:rsidR="00813404" w:rsidRPr="004E1C69" w:rsidRDefault="00CC4005" w:rsidP="004E1C69">
            <w:pPr>
              <w:jc w:val="left"/>
              <w:rPr>
                <w:rFonts w:ascii="DengXian" w:eastAsia="DengXian" w:hAnsi="DengXian"/>
                <w:b/>
                <w:bCs/>
                <w:color w:val="000000"/>
                <w:sz w:val="22"/>
              </w:rPr>
            </w:pPr>
            <w:r>
              <w:rPr>
                <w:rFonts w:ascii="DengXian" w:eastAsia="DengXian" w:hAnsi="DengXian" w:hint="eastAsia"/>
                <w:b/>
                <w:bCs/>
                <w:color w:val="000000"/>
                <w:sz w:val="22"/>
              </w:rPr>
              <w:t>Lock-Up Period</w:t>
            </w:r>
          </w:p>
        </w:tc>
        <w:tc>
          <w:tcPr>
            <w:tcW w:w="8762" w:type="dxa"/>
            <w:gridSpan w:val="2"/>
            <w:noWrap/>
            <w:hideMark/>
          </w:tcPr>
          <w:p w14:paraId="76FF7D9C" w14:textId="7888B8C8" w:rsidR="00813404" w:rsidRDefault="00241AA5" w:rsidP="00813404">
            <w:pPr>
              <w:rPr>
                <w:rFonts w:ascii="DengXian" w:eastAsia="DengXian" w:hAnsi="DengXian" w:hint="eastAsia"/>
                <w:color w:val="000000"/>
                <w:sz w:val="22"/>
              </w:rPr>
            </w:pPr>
            <w:r>
              <w:rPr>
                <w:rFonts w:ascii="DengXian" w:eastAsia="DengXian" w:hAnsi="DengXian" w:hint="eastAsia"/>
                <w:color w:val="000000"/>
                <w:sz w:val="22"/>
              </w:rPr>
              <w:t>1 year</w:t>
            </w:r>
          </w:p>
        </w:tc>
      </w:tr>
      <w:tr w:rsidR="00813404" w14:paraId="269B904E" w14:textId="77777777" w:rsidTr="004F1CBC">
        <w:trPr>
          <w:trHeight w:val="181"/>
        </w:trPr>
        <w:tc>
          <w:tcPr>
            <w:tcW w:w="1751" w:type="dxa"/>
            <w:noWrap/>
            <w:hideMark/>
          </w:tcPr>
          <w:p w14:paraId="2A9F1521" w14:textId="1FBCD7E2" w:rsidR="00813404" w:rsidRPr="004E1C69" w:rsidRDefault="00CC4005" w:rsidP="004E1C69">
            <w:pPr>
              <w:jc w:val="left"/>
              <w:rPr>
                <w:rFonts w:ascii="DengXian" w:eastAsia="DengXian" w:hAnsi="DengXian" w:hint="eastAsia"/>
                <w:b/>
                <w:bCs/>
                <w:color w:val="000000"/>
                <w:sz w:val="22"/>
              </w:rPr>
            </w:pPr>
            <w:r>
              <w:rPr>
                <w:rFonts w:ascii="DengXian" w:eastAsia="DengXian" w:hAnsi="DengXian" w:hint="eastAsia"/>
                <w:b/>
                <w:bCs/>
                <w:color w:val="000000"/>
                <w:sz w:val="22"/>
              </w:rPr>
              <w:t>Redemption Fees</w:t>
            </w:r>
          </w:p>
        </w:tc>
        <w:tc>
          <w:tcPr>
            <w:tcW w:w="8762" w:type="dxa"/>
            <w:gridSpan w:val="2"/>
            <w:noWrap/>
            <w:hideMark/>
          </w:tcPr>
          <w:p w14:paraId="702DCFEF" w14:textId="240A3B39" w:rsidR="00CC4005" w:rsidRPr="00CC4005" w:rsidRDefault="00CC4005" w:rsidP="00CC4005">
            <w:pPr>
              <w:rPr>
                <w:rFonts w:ascii="DengXian" w:eastAsia="DengXian" w:hAnsi="DengXian"/>
                <w:color w:val="000000"/>
                <w:sz w:val="22"/>
                <w:lang w:val="en-HK"/>
              </w:rPr>
            </w:pPr>
            <w:r w:rsidRPr="00CC4005">
              <w:rPr>
                <w:rFonts w:ascii="DengXian" w:eastAsia="DengXian" w:hAnsi="DengXian"/>
                <w:color w:val="000000"/>
                <w:sz w:val="22"/>
                <w:lang w:val="en"/>
              </w:rPr>
              <w:t>Redemption fee</w:t>
            </w:r>
            <w:r>
              <w:rPr>
                <w:rFonts w:ascii="DengXian" w:eastAsia="DengXian" w:hAnsi="DengXian" w:hint="eastAsia"/>
                <w:color w:val="000000"/>
                <w:sz w:val="22"/>
                <w:lang w:val="en"/>
              </w:rPr>
              <w:t>s</w:t>
            </w:r>
            <w:r w:rsidRPr="00CC4005">
              <w:rPr>
                <w:rFonts w:ascii="DengXian" w:eastAsia="DengXian" w:hAnsi="DengXian"/>
                <w:color w:val="000000"/>
                <w:sz w:val="22"/>
                <w:lang w:val="en"/>
              </w:rPr>
              <w:t xml:space="preserve"> </w:t>
            </w:r>
            <w:proofErr w:type="gramStart"/>
            <w:r w:rsidRPr="00CC4005">
              <w:rPr>
                <w:rFonts w:ascii="DengXian" w:eastAsia="DengXian" w:hAnsi="DengXian"/>
                <w:color w:val="000000"/>
                <w:sz w:val="22"/>
                <w:lang w:val="en"/>
              </w:rPr>
              <w:t>waived</w:t>
            </w:r>
            <w:proofErr w:type="gramEnd"/>
            <w:r w:rsidRPr="00CC4005">
              <w:rPr>
                <w:rFonts w:ascii="DengXian" w:eastAsia="DengXian" w:hAnsi="DengXian"/>
                <w:color w:val="000000"/>
                <w:sz w:val="22"/>
                <w:lang w:val="en"/>
              </w:rPr>
              <w:t xml:space="preserve"> after the lock-up period</w:t>
            </w:r>
          </w:p>
          <w:p w14:paraId="33FA5BAB" w14:textId="22E2C1B4" w:rsidR="00813404" w:rsidRDefault="00813404" w:rsidP="00813404">
            <w:pPr>
              <w:rPr>
                <w:rFonts w:ascii="DengXian" w:eastAsia="DengXian" w:hAnsi="DengXian"/>
                <w:color w:val="000000"/>
                <w:sz w:val="22"/>
              </w:rPr>
            </w:pPr>
          </w:p>
        </w:tc>
      </w:tr>
      <w:tr w:rsidR="00813404" w14:paraId="482FCC47" w14:textId="77777777" w:rsidTr="004F1CBC">
        <w:trPr>
          <w:trHeight w:val="494"/>
        </w:trPr>
        <w:tc>
          <w:tcPr>
            <w:tcW w:w="1751" w:type="dxa"/>
            <w:noWrap/>
            <w:hideMark/>
          </w:tcPr>
          <w:p w14:paraId="38FBCA5E" w14:textId="62F1BA67" w:rsidR="00813404" w:rsidRPr="004E1C69" w:rsidRDefault="00CC4005" w:rsidP="004E1C69">
            <w:pPr>
              <w:jc w:val="left"/>
              <w:rPr>
                <w:rFonts w:ascii="DengXian" w:eastAsia="DengXian" w:hAnsi="DengXian" w:hint="eastAsia"/>
                <w:b/>
                <w:bCs/>
                <w:color w:val="000000"/>
                <w:sz w:val="22"/>
              </w:rPr>
            </w:pPr>
            <w:r>
              <w:rPr>
                <w:rFonts w:ascii="DengXian" w:eastAsia="DengXian" w:hAnsi="DengXian" w:hint="eastAsia"/>
                <w:b/>
                <w:bCs/>
                <w:color w:val="000000"/>
                <w:sz w:val="22"/>
              </w:rPr>
              <w:t>Redemption Conditions</w:t>
            </w:r>
          </w:p>
        </w:tc>
        <w:tc>
          <w:tcPr>
            <w:tcW w:w="8762" w:type="dxa"/>
            <w:gridSpan w:val="2"/>
            <w:hideMark/>
          </w:tcPr>
          <w:p w14:paraId="2E8F3D4F" w14:textId="428999E1" w:rsidR="00813404" w:rsidRPr="00277F73" w:rsidRDefault="00CC4005" w:rsidP="00813404">
            <w:pPr>
              <w:rPr>
                <w:rFonts w:ascii="DengXian" w:hAnsi="DengXian"/>
                <w:color w:val="000000"/>
                <w:sz w:val="22"/>
                <w:lang w:val="en-HK"/>
              </w:rPr>
            </w:pPr>
            <w:r w:rsidRPr="00CC4005">
              <w:rPr>
                <w:rFonts w:ascii="DengXian" w:eastAsia="DengXian" w:hAnsi="DengXian"/>
                <w:color w:val="000000"/>
                <w:sz w:val="22"/>
              </w:rPr>
              <w:t>The pricing date is the last trading day of each quarter (March, June, September, and December), and the redemption date is the first trading day of each quarter. Clients must submit their applications 15 business days prior to the redemption date. Large redemptions are subject to special terms in the fund contract. For detailed redemption rules, please refer to page 8 of the supplementary document to the private placement memorandum for detailed guidance on redemptions.</w:t>
            </w:r>
          </w:p>
        </w:tc>
      </w:tr>
      <w:tr w:rsidR="00813404" w14:paraId="1E0AD768" w14:textId="77777777" w:rsidTr="004F1CBC">
        <w:trPr>
          <w:trHeight w:val="181"/>
        </w:trPr>
        <w:tc>
          <w:tcPr>
            <w:tcW w:w="1751" w:type="dxa"/>
            <w:noWrap/>
            <w:hideMark/>
          </w:tcPr>
          <w:p w14:paraId="6CBC8BB1" w14:textId="7D5B1DDE" w:rsidR="00813404" w:rsidRPr="004E1C69" w:rsidRDefault="008D3037" w:rsidP="004E1C69">
            <w:pPr>
              <w:jc w:val="left"/>
              <w:rPr>
                <w:rFonts w:ascii="DengXian" w:eastAsia="DengXian" w:hAnsi="DengXian" w:hint="eastAsia"/>
                <w:b/>
                <w:bCs/>
                <w:color w:val="000000"/>
                <w:sz w:val="22"/>
              </w:rPr>
            </w:pPr>
            <w:proofErr w:type="gramStart"/>
            <w:r w:rsidRPr="004E1C69">
              <w:rPr>
                <w:rFonts w:ascii="DengXian" w:eastAsia="DengXian" w:hAnsi="DengXian" w:hint="eastAsia"/>
                <w:b/>
                <w:bCs/>
                <w:color w:val="000000"/>
                <w:sz w:val="22"/>
              </w:rPr>
              <w:t>Asset</w:t>
            </w:r>
            <w:proofErr w:type="gramEnd"/>
            <w:r w:rsidRPr="004E1C69">
              <w:rPr>
                <w:rFonts w:ascii="DengXian" w:eastAsia="DengXian" w:hAnsi="DengXian" w:hint="eastAsia"/>
                <w:b/>
                <w:bCs/>
                <w:color w:val="000000"/>
                <w:sz w:val="22"/>
              </w:rPr>
              <w:t xml:space="preserve"> Under Management (AUM)</w:t>
            </w:r>
          </w:p>
        </w:tc>
        <w:tc>
          <w:tcPr>
            <w:tcW w:w="8762" w:type="dxa"/>
            <w:gridSpan w:val="2"/>
            <w:noWrap/>
            <w:hideMark/>
          </w:tcPr>
          <w:p w14:paraId="18480595" w14:textId="252C78C3" w:rsidR="00813404" w:rsidRPr="00AE5312" w:rsidRDefault="00AE5312" w:rsidP="00813404">
            <w:pPr>
              <w:rPr>
                <w:rFonts w:ascii="DengXian" w:eastAsia="DengXian" w:hAnsi="DengXian"/>
                <w:color w:val="000000"/>
                <w:sz w:val="22"/>
                <w:lang w:val="en-HK"/>
              </w:rPr>
            </w:pPr>
            <w:r w:rsidRPr="00AE5312">
              <w:rPr>
                <w:rFonts w:ascii="DengXian" w:eastAsia="DengXian" w:hAnsi="DengXian" w:hint="eastAsia"/>
                <w:color w:val="000000" w:themeColor="text1"/>
                <w:sz w:val="22"/>
              </w:rPr>
              <w:t>USD 9.4M</w:t>
            </w:r>
            <w:r w:rsidR="0089544C" w:rsidRPr="00AE5312">
              <w:rPr>
                <w:rFonts w:ascii="DengXian" w:eastAsia="DengXian" w:hAnsi="DengXian" w:hint="eastAsia"/>
                <w:color w:val="000000" w:themeColor="text1"/>
                <w:sz w:val="22"/>
              </w:rPr>
              <w:t xml:space="preserve"> </w:t>
            </w:r>
            <w:r w:rsidR="0089544C" w:rsidRPr="00AE5312">
              <w:rPr>
                <w:rFonts w:ascii="DengXian" w:eastAsia="DengXian" w:hAnsi="DengXian"/>
                <w:color w:val="000000"/>
                <w:sz w:val="22"/>
              </w:rPr>
              <w:t>(</w:t>
            </w:r>
            <w:r w:rsidR="008D3037" w:rsidRPr="00AE5312">
              <w:rPr>
                <w:rFonts w:ascii="DengXian" w:eastAsia="DengXian" w:hAnsi="DengXian" w:hint="eastAsia"/>
                <w:color w:val="000000"/>
                <w:sz w:val="22"/>
              </w:rPr>
              <w:t>As of 31 March 2026</w:t>
            </w:r>
            <w:r w:rsidR="0089544C" w:rsidRPr="00AE5312">
              <w:rPr>
                <w:rFonts w:ascii="DengXian" w:eastAsia="DengXian" w:hAnsi="DengXian" w:hint="eastAsia"/>
                <w:color w:val="000000"/>
                <w:sz w:val="22"/>
              </w:rPr>
              <w:t>)</w:t>
            </w:r>
          </w:p>
        </w:tc>
      </w:tr>
      <w:tr w:rsidR="00813404" w:rsidRPr="00C543C6" w14:paraId="623D1AAF" w14:textId="77777777" w:rsidTr="004F1CBC">
        <w:trPr>
          <w:trHeight w:val="181"/>
        </w:trPr>
        <w:tc>
          <w:tcPr>
            <w:tcW w:w="1751" w:type="dxa"/>
            <w:noWrap/>
          </w:tcPr>
          <w:p w14:paraId="5BAAF903" w14:textId="5E2BFADE" w:rsidR="00813404" w:rsidRPr="004E1C69" w:rsidRDefault="008D3037" w:rsidP="004E1C69">
            <w:pPr>
              <w:jc w:val="left"/>
              <w:rPr>
                <w:rFonts w:hint="eastAsia"/>
                <w:b/>
                <w:bCs/>
              </w:rPr>
            </w:pPr>
            <w:r w:rsidRPr="004E1C69">
              <w:rPr>
                <w:rFonts w:hint="eastAsia"/>
                <w:b/>
                <w:bCs/>
              </w:rPr>
              <w:t>Base Currency</w:t>
            </w:r>
          </w:p>
        </w:tc>
        <w:tc>
          <w:tcPr>
            <w:tcW w:w="8762" w:type="dxa"/>
            <w:gridSpan w:val="2"/>
            <w:noWrap/>
          </w:tcPr>
          <w:p w14:paraId="491FC108" w14:textId="49B5A463" w:rsidR="00813404" w:rsidRPr="00C543C6" w:rsidRDefault="008D3037" w:rsidP="00813404">
            <w:pPr>
              <w:rPr>
                <w:rFonts w:hint="eastAsia"/>
              </w:rPr>
            </w:pPr>
            <w:r>
              <w:rPr>
                <w:rFonts w:hint="eastAsia"/>
              </w:rPr>
              <w:t>USD</w:t>
            </w:r>
          </w:p>
        </w:tc>
      </w:tr>
      <w:tr w:rsidR="00813404" w14:paraId="7C988B61" w14:textId="77777777" w:rsidTr="004F1CBC">
        <w:trPr>
          <w:trHeight w:val="181"/>
        </w:trPr>
        <w:tc>
          <w:tcPr>
            <w:tcW w:w="1751" w:type="dxa"/>
            <w:noWrap/>
            <w:hideMark/>
          </w:tcPr>
          <w:p w14:paraId="20F6860D" w14:textId="4EAB8904" w:rsidR="00813404" w:rsidRPr="004E1C69" w:rsidRDefault="008D3037" w:rsidP="004E1C69">
            <w:pPr>
              <w:jc w:val="left"/>
              <w:rPr>
                <w:rFonts w:ascii="DengXian" w:eastAsia="DengXian" w:hAnsi="DengXian" w:hint="eastAsia"/>
                <w:b/>
                <w:bCs/>
                <w:color w:val="000000"/>
                <w:sz w:val="22"/>
              </w:rPr>
            </w:pPr>
            <w:r w:rsidRPr="004E1C69">
              <w:rPr>
                <w:rFonts w:ascii="DengXian" w:eastAsia="DengXian" w:hAnsi="DengXian"/>
                <w:b/>
                <w:bCs/>
                <w:color w:val="000000"/>
                <w:sz w:val="22"/>
              </w:rPr>
              <w:t>F</w:t>
            </w:r>
            <w:r w:rsidRPr="004E1C69">
              <w:rPr>
                <w:rFonts w:ascii="DengXian" w:eastAsia="DengXian" w:hAnsi="DengXian" w:hint="eastAsia"/>
                <w:b/>
                <w:bCs/>
                <w:color w:val="000000"/>
                <w:sz w:val="22"/>
              </w:rPr>
              <w:t>und Director</w:t>
            </w:r>
          </w:p>
        </w:tc>
        <w:tc>
          <w:tcPr>
            <w:tcW w:w="8762" w:type="dxa"/>
            <w:gridSpan w:val="2"/>
            <w:noWrap/>
            <w:hideMark/>
          </w:tcPr>
          <w:p w14:paraId="2C816F53" w14:textId="39E22B8B" w:rsidR="00813404" w:rsidRPr="009D1700" w:rsidRDefault="008D3037" w:rsidP="00813404">
            <w:pPr>
              <w:rPr>
                <w:rFonts w:ascii="DengXian" w:eastAsia="DengXian" w:hAnsi="DengXian"/>
                <w:color w:val="000000" w:themeColor="text1"/>
                <w:sz w:val="22"/>
              </w:rPr>
            </w:pPr>
            <w:r w:rsidRPr="009D1700">
              <w:rPr>
                <w:rFonts w:ascii="DengXian" w:eastAsia="DengXian" w:hAnsi="DengXian" w:hint="eastAsia"/>
                <w:color w:val="000000" w:themeColor="text1"/>
                <w:sz w:val="22"/>
              </w:rPr>
              <w:t xml:space="preserve">Choi Cheuk Heng </w:t>
            </w:r>
            <w:r w:rsidRPr="009D1700">
              <w:rPr>
                <w:rFonts w:ascii="DengXian" w:eastAsia="DengXian" w:hAnsi="DengXian" w:hint="eastAsia"/>
                <w:color w:val="000000" w:themeColor="text1"/>
                <w:sz w:val="22"/>
              </w:rPr>
              <w:t>Zenith</w:t>
            </w:r>
            <w:r w:rsidRPr="009D1700">
              <w:rPr>
                <w:rFonts w:ascii="DengXian" w:eastAsia="DengXian" w:hAnsi="DengXian" w:hint="eastAsia"/>
                <w:color w:val="000000" w:themeColor="text1"/>
                <w:sz w:val="22"/>
              </w:rPr>
              <w:t>, Ho Wai Keung</w:t>
            </w:r>
            <w:r w:rsidR="009D1700" w:rsidRPr="009D1700">
              <w:rPr>
                <w:rFonts w:ascii="DengXian" w:eastAsia="DengXian" w:hAnsi="DengXian" w:hint="eastAsia"/>
                <w:color w:val="000000" w:themeColor="text1"/>
                <w:sz w:val="22"/>
              </w:rPr>
              <w:t xml:space="preserve"> Terrence</w:t>
            </w:r>
          </w:p>
        </w:tc>
      </w:tr>
      <w:tr w:rsidR="00491BED" w14:paraId="525F9A77" w14:textId="77777777" w:rsidTr="004F1CBC">
        <w:trPr>
          <w:trHeight w:val="181"/>
        </w:trPr>
        <w:tc>
          <w:tcPr>
            <w:tcW w:w="1751" w:type="dxa"/>
            <w:noWrap/>
          </w:tcPr>
          <w:p w14:paraId="69A498A0" w14:textId="19A7CEE3" w:rsidR="00491BED" w:rsidRPr="004E1C69" w:rsidRDefault="008D3037" w:rsidP="004E1C69">
            <w:pPr>
              <w:jc w:val="left"/>
              <w:rPr>
                <w:rFonts w:ascii="DengXian" w:eastAsia="DengXian" w:hAnsi="DengXian" w:hint="eastAsia"/>
                <w:b/>
                <w:bCs/>
                <w:color w:val="000000"/>
                <w:sz w:val="22"/>
              </w:rPr>
            </w:pPr>
            <w:r w:rsidRPr="004E1C69">
              <w:rPr>
                <w:rFonts w:ascii="DengXian" w:eastAsia="DengXian" w:hAnsi="DengXian" w:hint="eastAsia"/>
                <w:b/>
                <w:bCs/>
                <w:color w:val="000000"/>
                <w:sz w:val="22"/>
              </w:rPr>
              <w:t xml:space="preserve">Portfolio </w:t>
            </w:r>
            <w:r w:rsidRPr="004E1C69">
              <w:rPr>
                <w:rFonts w:ascii="DengXian" w:eastAsia="DengXian" w:hAnsi="DengXian" w:hint="eastAsia"/>
                <w:b/>
                <w:bCs/>
                <w:color w:val="000000"/>
                <w:sz w:val="22"/>
              </w:rPr>
              <w:lastRenderedPageBreak/>
              <w:t>Managers</w:t>
            </w:r>
          </w:p>
        </w:tc>
        <w:tc>
          <w:tcPr>
            <w:tcW w:w="8762" w:type="dxa"/>
            <w:gridSpan w:val="2"/>
            <w:noWrap/>
          </w:tcPr>
          <w:p w14:paraId="6A802D88" w14:textId="79193EF6" w:rsidR="00491BED" w:rsidRPr="00E66F6B" w:rsidRDefault="008D3037" w:rsidP="00813404">
            <w:pPr>
              <w:rPr>
                <w:rFonts w:ascii="DengXian" w:eastAsia="DengXian" w:hAnsi="DengXian"/>
                <w:color w:val="000000"/>
                <w:sz w:val="22"/>
              </w:rPr>
            </w:pPr>
            <w:r>
              <w:rPr>
                <w:rFonts w:ascii="DengXian" w:eastAsia="DengXian" w:hAnsi="DengXian" w:hint="eastAsia"/>
                <w:color w:val="000000"/>
                <w:sz w:val="22"/>
              </w:rPr>
              <w:lastRenderedPageBreak/>
              <w:t xml:space="preserve">Choi Cheuk </w:t>
            </w:r>
            <w:r w:rsidRPr="009D1700">
              <w:rPr>
                <w:rFonts w:ascii="DengXian" w:eastAsia="DengXian" w:hAnsi="DengXian" w:hint="eastAsia"/>
                <w:color w:val="000000" w:themeColor="text1"/>
                <w:sz w:val="22"/>
              </w:rPr>
              <w:t>Heng Zenith,</w:t>
            </w:r>
            <w:r w:rsidRPr="009D1700">
              <w:rPr>
                <w:rFonts w:ascii="DengXian" w:eastAsia="DengXian" w:hAnsi="DengXian" w:hint="eastAsia"/>
                <w:color w:val="000000" w:themeColor="text1"/>
                <w:sz w:val="22"/>
              </w:rPr>
              <w:t xml:space="preserve"> Yang Yunshan</w:t>
            </w:r>
            <w:r w:rsidR="009D1700" w:rsidRPr="009D1700">
              <w:rPr>
                <w:rFonts w:ascii="DengXian" w:eastAsia="DengXian" w:hAnsi="DengXian" w:hint="eastAsia"/>
                <w:color w:val="000000" w:themeColor="text1"/>
                <w:sz w:val="22"/>
              </w:rPr>
              <w:t xml:space="preserve"> Vincent</w:t>
            </w:r>
          </w:p>
        </w:tc>
      </w:tr>
      <w:tr w:rsidR="00813404" w14:paraId="461DFCC9" w14:textId="77777777" w:rsidTr="004F1CBC">
        <w:trPr>
          <w:trHeight w:val="181"/>
        </w:trPr>
        <w:tc>
          <w:tcPr>
            <w:tcW w:w="1751" w:type="dxa"/>
            <w:noWrap/>
            <w:hideMark/>
          </w:tcPr>
          <w:p w14:paraId="03280C57" w14:textId="66AA13D9" w:rsidR="00813404" w:rsidRPr="004E1C69" w:rsidRDefault="008D3037" w:rsidP="004E1C69">
            <w:pPr>
              <w:jc w:val="left"/>
              <w:rPr>
                <w:rFonts w:ascii="DengXian" w:eastAsia="DengXian" w:hAnsi="DengXian"/>
                <w:b/>
                <w:bCs/>
                <w:color w:val="000000"/>
                <w:sz w:val="22"/>
              </w:rPr>
            </w:pPr>
            <w:r w:rsidRPr="004E1C69">
              <w:rPr>
                <w:rFonts w:ascii="DengXian" w:eastAsia="DengXian" w:hAnsi="DengXian" w:hint="eastAsia"/>
                <w:b/>
                <w:bCs/>
                <w:color w:val="000000"/>
                <w:sz w:val="22"/>
              </w:rPr>
              <w:t>Custodian</w:t>
            </w:r>
          </w:p>
        </w:tc>
        <w:tc>
          <w:tcPr>
            <w:tcW w:w="8762" w:type="dxa"/>
            <w:gridSpan w:val="2"/>
            <w:noWrap/>
            <w:hideMark/>
          </w:tcPr>
          <w:p w14:paraId="326E2213" w14:textId="63C8F2F9" w:rsidR="00813404" w:rsidRPr="008D3037" w:rsidRDefault="008D3037" w:rsidP="00813404">
            <w:pPr>
              <w:rPr>
                <w:rFonts w:ascii="DengXian" w:eastAsia="DengXian" w:hAnsi="DengXian"/>
                <w:color w:val="000000"/>
                <w:sz w:val="22"/>
                <w:lang w:val="en"/>
              </w:rPr>
            </w:pPr>
            <w:r w:rsidRPr="008D3037">
              <w:rPr>
                <w:rFonts w:ascii="DengXian" w:eastAsia="DengXian" w:hAnsi="DengXian"/>
                <w:color w:val="000000"/>
                <w:sz w:val="22"/>
                <w:lang w:val="en"/>
              </w:rPr>
              <w:t>Bank of Communications Trust Co., Ltd.</w:t>
            </w:r>
          </w:p>
        </w:tc>
      </w:tr>
      <w:tr w:rsidR="00813404" w14:paraId="17442C8F" w14:textId="77777777" w:rsidTr="004F1CBC">
        <w:trPr>
          <w:trHeight w:val="181"/>
        </w:trPr>
        <w:tc>
          <w:tcPr>
            <w:tcW w:w="1751" w:type="dxa"/>
            <w:noWrap/>
            <w:hideMark/>
          </w:tcPr>
          <w:p w14:paraId="07777940" w14:textId="5ABF5C28" w:rsidR="00813404" w:rsidRPr="004E1C69" w:rsidRDefault="008D3037" w:rsidP="004E1C69">
            <w:pPr>
              <w:jc w:val="left"/>
              <w:rPr>
                <w:rFonts w:ascii="DengXian" w:eastAsia="DengXian" w:hAnsi="DengXian"/>
                <w:b/>
                <w:bCs/>
                <w:color w:val="000000"/>
                <w:sz w:val="22"/>
                <w:lang w:val="en-HK"/>
              </w:rPr>
            </w:pPr>
            <w:r w:rsidRPr="008D3037">
              <w:rPr>
                <w:rFonts w:ascii="DengXian" w:eastAsia="DengXian" w:hAnsi="DengXian"/>
                <w:b/>
                <w:bCs/>
                <w:color w:val="000000"/>
                <w:sz w:val="22"/>
                <w:lang w:val="en"/>
              </w:rPr>
              <w:t>Agency</w:t>
            </w:r>
          </w:p>
        </w:tc>
        <w:tc>
          <w:tcPr>
            <w:tcW w:w="8762" w:type="dxa"/>
            <w:gridSpan w:val="2"/>
            <w:noWrap/>
            <w:hideMark/>
          </w:tcPr>
          <w:p w14:paraId="0D7331A5" w14:textId="5A0F6A27" w:rsidR="00813404" w:rsidRDefault="008D3037" w:rsidP="00813404">
            <w:pPr>
              <w:rPr>
                <w:rFonts w:ascii="DengXian" w:eastAsia="DengXian" w:hAnsi="DengXian"/>
                <w:color w:val="000000"/>
                <w:sz w:val="22"/>
              </w:rPr>
            </w:pPr>
            <w:r w:rsidRPr="008D3037">
              <w:rPr>
                <w:rFonts w:ascii="DengXian" w:eastAsia="DengXian" w:hAnsi="DengXian"/>
                <w:color w:val="000000"/>
                <w:sz w:val="22"/>
              </w:rPr>
              <w:t>CLSA Limited</w:t>
            </w:r>
          </w:p>
        </w:tc>
      </w:tr>
      <w:tr w:rsidR="00813404" w14:paraId="0487EAF4" w14:textId="77777777" w:rsidTr="004F1CBC">
        <w:trPr>
          <w:trHeight w:val="181"/>
        </w:trPr>
        <w:tc>
          <w:tcPr>
            <w:tcW w:w="10513" w:type="dxa"/>
            <w:gridSpan w:val="3"/>
            <w:noWrap/>
          </w:tcPr>
          <w:p w14:paraId="648CB846" w14:textId="0F2D4C38" w:rsidR="002456E7" w:rsidRPr="005B07A8" w:rsidRDefault="00B64A5E" w:rsidP="005B07A8">
            <w:pPr>
              <w:spacing w:before="240" w:after="240"/>
              <w:rPr>
                <w:b/>
                <w:bCs/>
              </w:rPr>
            </w:pPr>
            <w:r w:rsidRPr="00B64A5E">
              <w:rPr>
                <w:b/>
                <w:bCs/>
              </w:rPr>
              <w:t>What kind of product is this fund?</w:t>
            </w:r>
            <w:r w:rsidR="00813404" w:rsidRPr="008506AB">
              <w:rPr>
                <w:b/>
                <w:bCs/>
              </w:rPr>
              <w:t xml:space="preserve"> </w:t>
            </w:r>
          </w:p>
          <w:p w14:paraId="6FCBE31E" w14:textId="5E6206D4" w:rsidR="00B64A5E" w:rsidRPr="00B64A5E" w:rsidRDefault="00B64A5E" w:rsidP="00B14396">
            <w:pPr>
              <w:spacing w:before="240" w:after="240"/>
              <w:rPr>
                <w:rFonts w:eastAsiaTheme="minorHAnsi"/>
                <w:color w:val="000000" w:themeColor="text1"/>
                <w:lang w:val="en"/>
              </w:rPr>
            </w:pPr>
            <w:r w:rsidRPr="00B64A5E">
              <w:rPr>
                <w:rFonts w:eastAsiaTheme="minorHAnsi" w:hint="eastAsia"/>
                <w:color w:val="000000" w:themeColor="text1"/>
              </w:rPr>
              <w:t>Excelerate Multi Asset Income Fund</w:t>
            </w:r>
            <w:r w:rsidRPr="00B64A5E">
              <w:rPr>
                <w:rFonts w:eastAsiaTheme="minorHAnsi"/>
                <w:color w:val="000000" w:themeColor="text1"/>
              </w:rPr>
              <w:t xml:space="preserve"> ("the Fund") is an open-ended fund</w:t>
            </w:r>
            <w:r w:rsidR="00813404" w:rsidRPr="00B64A5E">
              <w:rPr>
                <w:rStyle w:val="FootnoteReference"/>
                <w:rFonts w:eastAsiaTheme="minorHAnsi"/>
                <w:color w:val="000000" w:themeColor="text1"/>
              </w:rPr>
              <w:footnoteReference w:id="1"/>
            </w:r>
            <w:r w:rsidR="00813404" w:rsidRPr="00B64A5E">
              <w:rPr>
                <w:rFonts w:eastAsiaTheme="minorHAnsi" w:hint="eastAsia"/>
                <w:color w:val="000000" w:themeColor="text1"/>
              </w:rPr>
              <w:t>，</w:t>
            </w:r>
            <w:r w:rsidRPr="00B64A5E">
              <w:rPr>
                <w:rFonts w:eastAsiaTheme="minorHAnsi"/>
                <w:color w:val="000000" w:themeColor="text1"/>
                <w:lang w:val="en"/>
              </w:rPr>
              <w:t>This fund was officially launched in November 2024.</w:t>
            </w:r>
            <w:r w:rsidRPr="00B64A5E">
              <w:rPr>
                <w:rFonts w:eastAsiaTheme="minorHAnsi" w:hint="eastAsia"/>
                <w:color w:val="000000" w:themeColor="text1"/>
                <w:lang w:val="en"/>
              </w:rPr>
              <w:t xml:space="preserve"> </w:t>
            </w:r>
            <w:r w:rsidRPr="00B64A5E">
              <w:rPr>
                <w:rFonts w:eastAsiaTheme="minorHAnsi"/>
                <w:color w:val="000000" w:themeColor="text1"/>
                <w:lang w:val="en"/>
              </w:rPr>
              <w:t>This fund is incorporated under the Securities and Futures Ordinance (Chapter 571) of the Hong Kong Special Administrative Region and operates as an Open-Ended Fund Company (OFC). The operation and management of the fund comply with the relevant regulations and guidelines of the Hong Kong Monetary Authority and the Securities and Futures Commission.</w:t>
            </w:r>
          </w:p>
          <w:p w14:paraId="5F100475" w14:textId="281B8F2C" w:rsidR="00813404" w:rsidRPr="00B14396" w:rsidRDefault="00B64A5E" w:rsidP="00B14396">
            <w:pPr>
              <w:spacing w:before="240" w:after="240"/>
              <w:rPr>
                <w:b/>
                <w:bCs/>
                <w:lang w:val="en-HK"/>
              </w:rPr>
            </w:pPr>
            <w:r w:rsidRPr="00B64A5E">
              <w:rPr>
                <w:rFonts w:eastAsiaTheme="minorHAnsi" w:cs="Segoe UI"/>
                <w:shd w:val="clear" w:color="auto" w:fill="FFFFFF"/>
              </w:rPr>
              <w:t xml:space="preserve">This fund has been included in </w:t>
            </w:r>
            <w:hyperlink r:id="rId9" w:history="1">
              <w:r w:rsidRPr="00B64A5E">
                <w:rPr>
                  <w:rStyle w:val="Hyperlink"/>
                  <w:rFonts w:eastAsiaTheme="minorHAnsi" w:cs="Segoe UI"/>
                  <w:shd w:val="clear" w:color="auto" w:fill="FFFFFF"/>
                </w:rPr>
                <w:t>the list of qualified collective investment schemes under the New Capital Investor Entrant Scheme (New CIES)</w:t>
              </w:r>
            </w:hyperlink>
            <w:r w:rsidR="00813404">
              <w:rPr>
                <w:rStyle w:val="FootnoteReference"/>
              </w:rPr>
              <w:footnoteReference w:id="2"/>
            </w:r>
            <w:r w:rsidRPr="00B64A5E">
              <w:rPr>
                <w:rFonts w:eastAsiaTheme="minorHAnsi" w:cs="Segoe UI"/>
                <w:shd w:val="clear" w:color="auto" w:fill="FFFFFF"/>
              </w:rPr>
              <w:t>.</w:t>
            </w:r>
          </w:p>
        </w:tc>
      </w:tr>
      <w:tr w:rsidR="00813404" w:rsidRPr="0019796D" w14:paraId="3BA3F5F2" w14:textId="77777777" w:rsidTr="004F1CBC">
        <w:trPr>
          <w:trHeight w:val="181"/>
        </w:trPr>
        <w:tc>
          <w:tcPr>
            <w:tcW w:w="10513" w:type="dxa"/>
            <w:gridSpan w:val="3"/>
            <w:noWrap/>
          </w:tcPr>
          <w:p w14:paraId="64DF2EAF" w14:textId="69044E32" w:rsidR="002456E7" w:rsidRPr="005B07A8" w:rsidRDefault="005B07A8" w:rsidP="005B07A8">
            <w:pPr>
              <w:spacing w:before="240" w:after="240"/>
              <w:rPr>
                <w:b/>
                <w:bCs/>
                <w:lang w:val="en-HK"/>
              </w:rPr>
            </w:pPr>
            <w:r w:rsidRPr="005B07A8">
              <w:rPr>
                <w:b/>
                <w:bCs/>
                <w:lang w:val="en"/>
              </w:rPr>
              <w:t>Objectives and Investment Strategies</w:t>
            </w:r>
            <w:r w:rsidR="00813404" w:rsidRPr="0019796D">
              <w:rPr>
                <w:b/>
                <w:bCs/>
              </w:rPr>
              <w:t xml:space="preserve"> </w:t>
            </w:r>
          </w:p>
          <w:p w14:paraId="345D579F" w14:textId="181738F6" w:rsidR="005B07A8" w:rsidRPr="005B07A8" w:rsidRDefault="005B07A8" w:rsidP="00B14396">
            <w:pPr>
              <w:spacing w:before="240" w:after="240"/>
              <w:rPr>
                <w:lang w:val="en"/>
              </w:rPr>
            </w:pPr>
            <w:r w:rsidRPr="005B07A8">
              <w:rPr>
                <w:lang w:val="en"/>
              </w:rPr>
              <w:t xml:space="preserve">This fund primarily invests in a collective investment scheme centered on structured products such as Hong Kong and US-listed index-linked ETFs, stocks, and high-yield notes linked to indices and stocks. Approximately 80% of the fund's investment is in high-yield notes, with the remaining 20% </w:t>
            </w:r>
            <w:r w:rsidRPr="005B07A8">
              <w:rPr>
                <w:rFonts w:ascii="Arial" w:hAnsi="Arial" w:cs="Arial"/>
                <w:lang w:val="en"/>
              </w:rPr>
              <w:t>​​</w:t>
            </w:r>
            <w:r w:rsidRPr="005B07A8">
              <w:rPr>
                <w:lang w:val="en"/>
              </w:rPr>
              <w:t>optionally held in notes, stocks, ETFs, or cash.</w:t>
            </w:r>
          </w:p>
          <w:p w14:paraId="5975246F" w14:textId="4DF0EC24" w:rsidR="005B07A8" w:rsidRPr="005B07A8" w:rsidRDefault="005B07A8" w:rsidP="00B14396">
            <w:pPr>
              <w:spacing w:before="240" w:after="240"/>
              <w:rPr>
                <w:lang w:val="en"/>
              </w:rPr>
            </w:pPr>
            <w:r w:rsidRPr="005B07A8">
              <w:rPr>
                <w:lang w:val="en"/>
              </w:rPr>
              <w:t>Diversification is a core strategy of this fund. By selecting stocks concentrated in or within an index, based on indices, the fund effectively reduces the volatility of its asset prices and provides significant resilience during financial crises. This fund focuses on long-term, stable returns, generating returns comparable to or even better than equity funds both during periods of asset decline and under normal circumstances. Therefore, this fund is particularly suitable as an investment vehicle for investment immigration programs lasting up to 7 years.</w:t>
            </w:r>
          </w:p>
          <w:p w14:paraId="7856F939" w14:textId="706D57A9" w:rsidR="00813404" w:rsidRPr="005B07A8" w:rsidRDefault="005B07A8" w:rsidP="00B14396">
            <w:pPr>
              <w:spacing w:before="240" w:after="240"/>
              <w:rPr>
                <w:lang w:val="en-HK"/>
              </w:rPr>
            </w:pPr>
            <w:r w:rsidRPr="005B07A8">
              <w:rPr>
                <w:lang w:val="en"/>
              </w:rPr>
              <w:t>Under normal circumstances, this fund will not use leverage to enhance returns. Please refer to page 4 of the supplementary private placement memorandum for details regarding leverage.</w:t>
            </w:r>
          </w:p>
        </w:tc>
      </w:tr>
      <w:tr w:rsidR="00813404" w:rsidRPr="008D157D" w14:paraId="7C57DFC6" w14:textId="77777777" w:rsidTr="004F1CBC">
        <w:trPr>
          <w:trHeight w:val="181"/>
        </w:trPr>
        <w:tc>
          <w:tcPr>
            <w:tcW w:w="10513" w:type="dxa"/>
            <w:gridSpan w:val="3"/>
            <w:noWrap/>
          </w:tcPr>
          <w:p w14:paraId="62F79ECF" w14:textId="64045C17" w:rsidR="00813404" w:rsidRPr="008D157D" w:rsidRDefault="00B14396" w:rsidP="00B14396">
            <w:pPr>
              <w:spacing w:before="240" w:after="240"/>
              <w:rPr>
                <w:b/>
                <w:bCs/>
                <w:lang w:eastAsia="zh-TW"/>
              </w:rPr>
            </w:pPr>
            <w:r w:rsidRPr="00B14396">
              <w:rPr>
                <w:b/>
                <w:bCs/>
                <w:lang w:eastAsia="zh-TW"/>
              </w:rPr>
              <w:t xml:space="preserve">Use of </w:t>
            </w:r>
            <w:r w:rsidR="00F40EA0">
              <w:rPr>
                <w:rFonts w:hint="eastAsia"/>
                <w:b/>
                <w:bCs/>
              </w:rPr>
              <w:t>D</w:t>
            </w:r>
            <w:r w:rsidRPr="00B14396">
              <w:rPr>
                <w:b/>
                <w:bCs/>
                <w:lang w:eastAsia="zh-TW"/>
              </w:rPr>
              <w:t xml:space="preserve">erivatives / Investment in </w:t>
            </w:r>
            <w:r w:rsidR="00F40EA0">
              <w:rPr>
                <w:rFonts w:hint="eastAsia"/>
                <w:b/>
                <w:bCs/>
              </w:rPr>
              <w:t>D</w:t>
            </w:r>
            <w:r w:rsidRPr="00B14396">
              <w:rPr>
                <w:b/>
                <w:bCs/>
                <w:lang w:eastAsia="zh-TW"/>
              </w:rPr>
              <w:t>erivatives</w:t>
            </w:r>
            <w:r w:rsidR="00813404" w:rsidRPr="008D157D">
              <w:rPr>
                <w:b/>
                <w:bCs/>
                <w:lang w:eastAsia="zh-TW"/>
              </w:rPr>
              <w:t xml:space="preserve"> </w:t>
            </w:r>
          </w:p>
          <w:p w14:paraId="0A9474F7" w14:textId="35C20CAF" w:rsidR="00813404" w:rsidRPr="00B14396" w:rsidRDefault="00B14396" w:rsidP="00B14396">
            <w:pPr>
              <w:spacing w:before="240" w:after="240"/>
              <w:rPr>
                <w:lang w:val="en-HK"/>
              </w:rPr>
            </w:pPr>
            <w:r w:rsidRPr="00B14396">
              <w:t>This fund is a derivative product. It carries the characteristics and risks of derivatives. Investors should have a basic understanding of derivatives. If you have any questions about this fund or derivatives, you should consult a third-party investment advisor for investment advice.</w:t>
            </w:r>
          </w:p>
        </w:tc>
      </w:tr>
      <w:tr w:rsidR="00813404" w:rsidRPr="00AD23D7" w14:paraId="35B483E9" w14:textId="77777777" w:rsidTr="004F1CBC">
        <w:trPr>
          <w:trHeight w:val="181"/>
        </w:trPr>
        <w:tc>
          <w:tcPr>
            <w:tcW w:w="10513" w:type="dxa"/>
            <w:gridSpan w:val="3"/>
            <w:noWrap/>
          </w:tcPr>
          <w:p w14:paraId="0B16BE53" w14:textId="36E610DC" w:rsidR="002456E7" w:rsidRPr="00FC72F7" w:rsidRDefault="00F40EA0" w:rsidP="00FC72F7">
            <w:pPr>
              <w:spacing w:before="240" w:after="240"/>
              <w:rPr>
                <w:b/>
                <w:bCs/>
                <w:lang w:val="en-HK" w:eastAsia="zh-TW"/>
              </w:rPr>
            </w:pPr>
            <w:r w:rsidRPr="00F40EA0">
              <w:rPr>
                <w:b/>
                <w:bCs/>
                <w:lang w:eastAsia="zh-TW"/>
              </w:rPr>
              <w:t>What Are the Main Risks of This Fund?</w:t>
            </w:r>
          </w:p>
          <w:p w14:paraId="5D627310" w14:textId="2E36880D"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Investment Risk</w:t>
            </w:r>
            <w:r w:rsidRPr="005F519A">
              <w:rPr>
                <w:rFonts w:hint="eastAsia"/>
                <w:b/>
                <w:bCs/>
                <w:lang w:val="en"/>
              </w:rPr>
              <w:t>:</w:t>
            </w:r>
            <w:r>
              <w:rPr>
                <w:rFonts w:hint="eastAsia"/>
                <w:lang w:val="en"/>
              </w:rPr>
              <w:t xml:space="preserve"> </w:t>
            </w:r>
            <w:r w:rsidRPr="005F519A">
              <w:rPr>
                <w:lang w:val="en" w:eastAsia="zh-TW"/>
              </w:rPr>
              <w:t xml:space="preserve">This fund is an investment fund. The value of the fund's portfolio may decline due to any </w:t>
            </w:r>
            <w:r w:rsidRPr="005F519A">
              <w:rPr>
                <w:lang w:val="en" w:eastAsia="zh-TW"/>
              </w:rPr>
              <w:lastRenderedPageBreak/>
              <w:t xml:space="preserve">of the following risk factors, and your investment in this fund may incur losses. There is no guarantee that the principal will be returned. The performance of this fund depends in part on the success of the asset allocation strategy employed. There is no guarantee that the strategy employed by this fund will be successful, and therefore the investment objectives of this fund may not be achieved. </w:t>
            </w:r>
          </w:p>
          <w:p w14:paraId="328E4844" w14:textId="7D0E38E7"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Capital Growth Risk</w:t>
            </w:r>
            <w:r w:rsidRPr="005F519A">
              <w:rPr>
                <w:rFonts w:hint="eastAsia"/>
                <w:b/>
                <w:bCs/>
                <w:lang w:val="en"/>
              </w:rPr>
              <w:t>:</w:t>
            </w:r>
            <w:r w:rsidRPr="005F519A">
              <w:rPr>
                <w:lang w:val="en" w:eastAsia="zh-TW"/>
              </w:rPr>
              <w:t xml:space="preserve"> Risks associated with income-generating investment strategies This fund employs an income-generating investment strategy, which may reduce the fund's capital growth potential and future income. </w:t>
            </w:r>
          </w:p>
          <w:p w14:paraId="55581101" w14:textId="25AA027C"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Credit Risk</w:t>
            </w:r>
            <w:r w:rsidRPr="005F519A">
              <w:rPr>
                <w:rFonts w:hint="eastAsia"/>
                <w:b/>
                <w:bCs/>
                <w:lang w:val="en"/>
              </w:rPr>
              <w:t>:</w:t>
            </w:r>
            <w:r w:rsidRPr="005F519A">
              <w:rPr>
                <w:lang w:val="en" w:eastAsia="zh-TW"/>
              </w:rPr>
              <w:t xml:space="preserve"> Issuer and counterparty risk – Bankruptcy, default, credit rating downgrade, or sanctions due to geopolitical factors may lead to losses for this fund. It also raises liquidity risk. </w:t>
            </w:r>
          </w:p>
          <w:p w14:paraId="154315C0" w14:textId="062E1F99"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Currency Risk</w:t>
            </w:r>
            <w:r w:rsidRPr="005F519A">
              <w:rPr>
                <w:rFonts w:hint="eastAsia"/>
                <w:b/>
                <w:bCs/>
                <w:lang w:val="en"/>
              </w:rPr>
              <w:t>:</w:t>
            </w:r>
            <w:r w:rsidRPr="005F519A">
              <w:rPr>
                <w:lang w:val="en" w:eastAsia="zh-TW"/>
              </w:rPr>
              <w:t xml:space="preserve"> This fund may invest in assets denominated in currencies other than the fund's base currency (primarily US dollars and Hong Kong dollars). Furthermore, the designated currency for certain share classes may be a currency other than the fund's base currency. </w:t>
            </w:r>
          </w:p>
          <w:p w14:paraId="16914922" w14:textId="220FF7A2"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Interest Rate Risk:</w:t>
            </w:r>
            <w:r w:rsidRPr="005F519A">
              <w:rPr>
                <w:lang w:val="en" w:eastAsia="zh-TW"/>
              </w:rPr>
              <w:t xml:space="preserve"> Rising interest rates may adversely affect the assets held by the Fund. </w:t>
            </w:r>
          </w:p>
          <w:p w14:paraId="0784CF80" w14:textId="7233C4C7"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Non-Investment Grade/Unrated Bond Risk:</w:t>
            </w:r>
            <w:r w:rsidRPr="005F519A">
              <w:rPr>
                <w:lang w:val="en" w:eastAsia="zh-TW"/>
              </w:rPr>
              <w:t xml:space="preserve"> The high-yield bonds invested in by the Fund generally lack credit ratings. They are also subject to short-term price fluctuations due to the issuer's credit rating. Therefore, liquidity in the secondary market is relatively low. </w:t>
            </w:r>
          </w:p>
          <w:p w14:paraId="07DC19C2" w14:textId="21D4E465" w:rsidR="005F519A" w:rsidRPr="005F519A" w:rsidRDefault="005F519A" w:rsidP="00F40EA0">
            <w:pPr>
              <w:pStyle w:val="ListParagraph"/>
              <w:numPr>
                <w:ilvl w:val="0"/>
                <w:numId w:val="6"/>
              </w:numPr>
              <w:spacing w:before="240" w:after="240"/>
              <w:rPr>
                <w:lang w:val="en-HK" w:eastAsia="zh-TW"/>
              </w:rPr>
            </w:pPr>
            <w:r w:rsidRPr="005F519A">
              <w:rPr>
                <w:b/>
                <w:bCs/>
                <w:lang w:val="en" w:eastAsia="zh-TW"/>
              </w:rPr>
              <w:t>Derivative Instrument Risk:</w:t>
            </w:r>
            <w:r w:rsidRPr="005F519A">
              <w:rPr>
                <w:lang w:val="en" w:eastAsia="zh-TW"/>
              </w:rPr>
              <w:t xml:space="preserve"> Risks associated with derivative instruments include counterparty/credit risk, liquidity risk, valuation risk, the risk of irrational short-term volatility, and over-the-counter trading risk. In adverse circumstances, the Fund may incur additional losses due to </w:t>
            </w:r>
            <w:proofErr w:type="gramStart"/>
            <w:r w:rsidRPr="005F519A">
              <w:rPr>
                <w:lang w:val="en" w:eastAsia="zh-TW"/>
              </w:rPr>
              <w:t>hedging of</w:t>
            </w:r>
            <w:proofErr w:type="gramEnd"/>
            <w:r w:rsidRPr="005F519A">
              <w:rPr>
                <w:lang w:val="en" w:eastAsia="zh-TW"/>
              </w:rPr>
              <w:t xml:space="preserve"> its portfolio. </w:t>
            </w:r>
          </w:p>
          <w:p w14:paraId="33894F50" w14:textId="295BABD0" w:rsidR="00813404" w:rsidRPr="00F40EA0" w:rsidRDefault="005F519A" w:rsidP="00F40EA0">
            <w:pPr>
              <w:pStyle w:val="ListParagraph"/>
              <w:numPr>
                <w:ilvl w:val="0"/>
                <w:numId w:val="6"/>
              </w:numPr>
              <w:spacing w:before="240" w:after="240"/>
              <w:rPr>
                <w:lang w:val="en-HK" w:eastAsia="zh-TW"/>
              </w:rPr>
            </w:pPr>
            <w:r w:rsidRPr="005F519A">
              <w:rPr>
                <w:b/>
                <w:bCs/>
                <w:lang w:val="en" w:eastAsia="zh-TW"/>
              </w:rPr>
              <w:t>Liquidity Risk</w:t>
            </w:r>
            <w:r>
              <w:rPr>
                <w:rFonts w:hint="eastAsia"/>
                <w:b/>
                <w:bCs/>
                <w:lang w:val="en"/>
              </w:rPr>
              <w:t>:</w:t>
            </w:r>
            <w:r w:rsidRPr="005F519A">
              <w:rPr>
                <w:rFonts w:hint="eastAsia"/>
                <w:lang w:val="en"/>
              </w:rPr>
              <w:t xml:space="preserve"> </w:t>
            </w:r>
            <w:r w:rsidRPr="005F519A">
              <w:rPr>
                <w:lang w:val="en" w:eastAsia="zh-TW"/>
              </w:rPr>
              <w:t>The size and trading volume of the securities markets associated with the Fund may be significantly smaller than those in developed markets. This may lead to reduced liquidity and difficulty in selling such securities, potentially reducing the Fund's returns/causing losses for investors.</w:t>
            </w:r>
          </w:p>
        </w:tc>
      </w:tr>
      <w:tr w:rsidR="00813404" w:rsidRPr="003B65B0" w14:paraId="2407FDBB" w14:textId="77777777" w:rsidTr="004F1CBC">
        <w:trPr>
          <w:trHeight w:val="181"/>
        </w:trPr>
        <w:tc>
          <w:tcPr>
            <w:tcW w:w="10513" w:type="dxa"/>
            <w:gridSpan w:val="3"/>
            <w:noWrap/>
          </w:tcPr>
          <w:p w14:paraId="70408FA8" w14:textId="4549BF70" w:rsidR="002456E7" w:rsidRPr="003B65B0" w:rsidRDefault="00F40EA0" w:rsidP="00F40EA0">
            <w:pPr>
              <w:spacing w:before="240" w:after="240"/>
              <w:rPr>
                <w:b/>
                <w:bCs/>
                <w:lang w:eastAsia="zh-TW"/>
              </w:rPr>
            </w:pPr>
            <w:r w:rsidRPr="00F40EA0">
              <w:rPr>
                <w:b/>
                <w:bCs/>
                <w:lang w:eastAsia="zh-TW"/>
              </w:rPr>
              <w:lastRenderedPageBreak/>
              <w:t xml:space="preserve">Does </w:t>
            </w:r>
            <w:r>
              <w:rPr>
                <w:rFonts w:hint="eastAsia"/>
                <w:b/>
                <w:bCs/>
              </w:rPr>
              <w:t>T</w:t>
            </w:r>
            <w:r w:rsidRPr="00F40EA0">
              <w:rPr>
                <w:b/>
                <w:bCs/>
                <w:lang w:eastAsia="zh-TW"/>
              </w:rPr>
              <w:t xml:space="preserve">his </w:t>
            </w:r>
            <w:r>
              <w:rPr>
                <w:rFonts w:hint="eastAsia"/>
                <w:b/>
                <w:bCs/>
              </w:rPr>
              <w:t>F</w:t>
            </w:r>
            <w:r w:rsidRPr="00F40EA0">
              <w:rPr>
                <w:b/>
                <w:bCs/>
                <w:lang w:eastAsia="zh-TW"/>
              </w:rPr>
              <w:t xml:space="preserve">und </w:t>
            </w:r>
            <w:r>
              <w:rPr>
                <w:rFonts w:hint="eastAsia"/>
                <w:b/>
                <w:bCs/>
              </w:rPr>
              <w:t>G</w:t>
            </w:r>
            <w:r w:rsidRPr="00F40EA0">
              <w:rPr>
                <w:b/>
                <w:bCs/>
                <w:lang w:eastAsia="zh-TW"/>
              </w:rPr>
              <w:t xml:space="preserve">uarantee the </w:t>
            </w:r>
            <w:r>
              <w:rPr>
                <w:rFonts w:hint="eastAsia"/>
                <w:b/>
                <w:bCs/>
              </w:rPr>
              <w:t>P</w:t>
            </w:r>
            <w:r w:rsidRPr="00F40EA0">
              <w:rPr>
                <w:b/>
                <w:bCs/>
                <w:lang w:eastAsia="zh-TW"/>
              </w:rPr>
              <w:t>rincipal?</w:t>
            </w:r>
          </w:p>
          <w:p w14:paraId="4058A6E9" w14:textId="00AFCC43" w:rsidR="00780B91" w:rsidRPr="003B65B0" w:rsidRDefault="00F40EA0" w:rsidP="00780B91">
            <w:pPr>
              <w:spacing w:before="240" w:after="240"/>
              <w:rPr>
                <w:lang w:eastAsia="zh-TW"/>
              </w:rPr>
            </w:pPr>
            <w:r w:rsidRPr="00F40EA0">
              <w:rPr>
                <w:lang w:eastAsia="zh-TW"/>
              </w:rPr>
              <w:t>This fund is not a principal-protected fund.</w:t>
            </w:r>
            <w:r w:rsidR="00813404" w:rsidRPr="003B65B0">
              <w:rPr>
                <w:lang w:eastAsia="zh-TW"/>
              </w:rPr>
              <w:t xml:space="preserve"> </w:t>
            </w:r>
          </w:p>
        </w:tc>
      </w:tr>
    </w:tbl>
    <w:tbl>
      <w:tblPr>
        <w:tblpPr w:leftFromText="180" w:rightFromText="180" w:vertAnchor="text" w:horzAnchor="margin" w:tblpY="82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647"/>
      </w:tblGrid>
      <w:tr w:rsidR="00436A14" w:rsidRPr="00555C59" w14:paraId="61398E7F" w14:textId="77777777" w:rsidTr="00262183">
        <w:trPr>
          <w:trHeight w:val="751"/>
        </w:trPr>
        <w:tc>
          <w:tcPr>
            <w:tcW w:w="1838" w:type="dxa"/>
            <w:shd w:val="clear" w:color="000000" w:fill="203764"/>
            <w:noWrap/>
            <w:vAlign w:val="center"/>
            <w:hideMark/>
          </w:tcPr>
          <w:p w14:paraId="63FDFD64" w14:textId="724384BB" w:rsidR="00436A14" w:rsidRPr="00C475CB" w:rsidRDefault="00C475CB" w:rsidP="00436A14">
            <w:pPr>
              <w:widowControl/>
              <w:jc w:val="left"/>
              <w:rPr>
                <w:rFonts w:ascii="DengXian" w:eastAsia="DengXian" w:hAnsi="DengXian" w:cs="SimSun"/>
                <w:b/>
                <w:bCs/>
                <w:color w:val="FFFFFF"/>
                <w:kern w:val="0"/>
                <w:sz w:val="22"/>
              </w:rPr>
            </w:pPr>
            <w:r w:rsidRPr="00C475CB">
              <w:rPr>
                <w:rFonts w:ascii="DengXian" w:eastAsia="DengXian" w:hAnsi="DengXian" w:cs="SimSun"/>
                <w:b/>
                <w:bCs/>
                <w:color w:val="FFFFFF"/>
                <w:kern w:val="0"/>
                <w:sz w:val="22"/>
              </w:rPr>
              <w:t>Comments section</w:t>
            </w:r>
          </w:p>
        </w:tc>
        <w:tc>
          <w:tcPr>
            <w:tcW w:w="8647" w:type="dxa"/>
            <w:shd w:val="clear" w:color="000000" w:fill="203764"/>
            <w:noWrap/>
            <w:vAlign w:val="center"/>
            <w:hideMark/>
          </w:tcPr>
          <w:p w14:paraId="21EECCF5" w14:textId="43DDB45F" w:rsidR="00436A14" w:rsidRPr="00C475CB" w:rsidRDefault="00C475CB" w:rsidP="00436A14">
            <w:pPr>
              <w:widowControl/>
              <w:jc w:val="left"/>
              <w:rPr>
                <w:rFonts w:ascii="DengXian" w:eastAsia="DengXian" w:hAnsi="DengXian" w:cs="SimSun" w:hint="eastAsia"/>
                <w:b/>
                <w:bCs/>
                <w:color w:val="FFFFFF"/>
                <w:kern w:val="0"/>
                <w:sz w:val="22"/>
              </w:rPr>
            </w:pPr>
            <w:r w:rsidRPr="00C475CB">
              <w:rPr>
                <w:rFonts w:ascii="DengXian" w:eastAsia="DengXian" w:hAnsi="DengXian" w:cs="SimSun" w:hint="eastAsia"/>
                <w:b/>
                <w:bCs/>
                <w:color w:val="FFFFFF"/>
                <w:kern w:val="0"/>
                <w:sz w:val="22"/>
              </w:rPr>
              <w:t>Key Messages</w:t>
            </w:r>
          </w:p>
        </w:tc>
      </w:tr>
      <w:tr w:rsidR="00436A14" w:rsidRPr="00555C59" w14:paraId="7F809AAB" w14:textId="77777777" w:rsidTr="00262183">
        <w:trPr>
          <w:trHeight w:val="735"/>
        </w:trPr>
        <w:tc>
          <w:tcPr>
            <w:tcW w:w="1838" w:type="dxa"/>
            <w:shd w:val="clear" w:color="000000" w:fill="D6DCE4"/>
            <w:noWrap/>
            <w:vAlign w:val="center"/>
            <w:hideMark/>
          </w:tcPr>
          <w:p w14:paraId="781C8084" w14:textId="7F925A1B" w:rsidR="00436A14" w:rsidRPr="00C475CB" w:rsidRDefault="00C475CB" w:rsidP="00C475CB">
            <w:pPr>
              <w:widowControl/>
              <w:spacing w:before="240" w:after="240"/>
              <w:jc w:val="left"/>
              <w:rPr>
                <w:rFonts w:ascii="DengXian" w:eastAsia="DengXian" w:hAnsi="DengXian" w:cs="SimSun" w:hint="eastAsia"/>
                <w:b/>
                <w:bCs/>
                <w:color w:val="000000"/>
                <w:kern w:val="0"/>
                <w:sz w:val="22"/>
              </w:rPr>
            </w:pPr>
            <w:r w:rsidRPr="00C475CB">
              <w:rPr>
                <w:rFonts w:ascii="DengXian" w:eastAsia="DengXian" w:hAnsi="DengXian" w:cs="SimSun" w:hint="eastAsia"/>
                <w:b/>
                <w:bCs/>
                <w:color w:val="000000"/>
                <w:kern w:val="0"/>
                <w:sz w:val="22"/>
              </w:rPr>
              <w:t>Market Review</w:t>
            </w:r>
          </w:p>
        </w:tc>
        <w:tc>
          <w:tcPr>
            <w:tcW w:w="8647" w:type="dxa"/>
            <w:noWrap/>
            <w:vAlign w:val="center"/>
            <w:hideMark/>
          </w:tcPr>
          <w:p w14:paraId="1B894B38" w14:textId="77777777" w:rsidR="00344540" w:rsidRPr="00344540" w:rsidRDefault="00344540" w:rsidP="00344540">
            <w:pPr>
              <w:widowControl/>
              <w:spacing w:before="240" w:after="240"/>
              <w:jc w:val="left"/>
              <w:rPr>
                <w:rFonts w:ascii="Segoe UI" w:eastAsia="DengXian" w:hAnsi="Segoe UI" w:cs="Segoe UI"/>
                <w:color w:val="000000" w:themeColor="text1"/>
                <w:kern w:val="0"/>
                <w:szCs w:val="21"/>
                <w:lang w:val="en-HK"/>
              </w:rPr>
            </w:pPr>
            <w:r w:rsidRPr="00344540">
              <w:rPr>
                <w:rFonts w:ascii="Segoe UI" w:eastAsia="DengXian" w:hAnsi="Segoe UI" w:cs="Segoe UI"/>
                <w:color w:val="000000" w:themeColor="text1"/>
                <w:kern w:val="0"/>
                <w:szCs w:val="21"/>
                <w:lang w:val="en-HK"/>
              </w:rPr>
              <w:t>The first quarter of 2026 opened constructively but grew increasingly turbulent as geopolitical shocks, persistent inflation, and a rotation away from growth stocks left most major indices in negative territory by quarter-end.</w:t>
            </w:r>
          </w:p>
          <w:p w14:paraId="6F77C2F2" w14:textId="6CEC95D0" w:rsidR="00344540" w:rsidRPr="00344540" w:rsidRDefault="00344540" w:rsidP="00344540">
            <w:pPr>
              <w:widowControl/>
              <w:spacing w:before="240" w:after="240"/>
              <w:jc w:val="left"/>
              <w:rPr>
                <w:rFonts w:ascii="Segoe UI" w:eastAsia="DengXian" w:hAnsi="Segoe UI" w:cs="Segoe UI"/>
                <w:color w:val="000000" w:themeColor="text1"/>
                <w:kern w:val="0"/>
                <w:szCs w:val="21"/>
                <w:lang w:val="en-HK"/>
              </w:rPr>
            </w:pPr>
            <w:r w:rsidRPr="00344540">
              <w:rPr>
                <w:rFonts w:ascii="Segoe UI" w:eastAsia="DengXian" w:hAnsi="Segoe UI" w:cs="Segoe UI"/>
                <w:color w:val="000000" w:themeColor="text1"/>
                <w:kern w:val="0"/>
                <w:szCs w:val="21"/>
                <w:lang w:val="en-HK"/>
              </w:rPr>
              <w:t xml:space="preserve">U.S. equity markets began 2026 on a positive note, with broad participation and leadership from value-oriented segments, reversing the prior year's mega-cap tech dominance. The mood soured quickly, however. The onset of conflict with Iran in late February sent oil prices surging and injected a new level of uncertainty into global financial markets. The U.S. market ended Q1 down approximately 4%, with a particularly painful March declining nearly 5%. Inflation re-accelerated sharply to 3.3% by March, while a new 10% global trade </w:t>
            </w:r>
            <w:r w:rsidRPr="00344540">
              <w:rPr>
                <w:rFonts w:ascii="Segoe UI" w:eastAsia="DengXian" w:hAnsi="Segoe UI" w:cs="Segoe UI"/>
                <w:color w:val="000000" w:themeColor="text1"/>
                <w:kern w:val="0"/>
                <w:szCs w:val="21"/>
                <w:lang w:val="en-HK"/>
              </w:rPr>
              <w:lastRenderedPageBreak/>
              <w:t>surcharge kept the average U.S. tariff rate near decade highs, adding pressure on manufacturers and consumers alike.</w:t>
            </w:r>
          </w:p>
          <w:p w14:paraId="77D7C782" w14:textId="60831618" w:rsidR="00344540" w:rsidRPr="00344540" w:rsidRDefault="00344540" w:rsidP="00344540">
            <w:pPr>
              <w:widowControl/>
              <w:spacing w:before="240" w:after="240"/>
              <w:jc w:val="left"/>
              <w:rPr>
                <w:rFonts w:ascii="Segoe UI" w:eastAsia="DengXian" w:hAnsi="Segoe UI" w:cs="Segoe UI"/>
                <w:color w:val="000000" w:themeColor="text1"/>
                <w:kern w:val="0"/>
                <w:szCs w:val="21"/>
                <w:lang w:val="en-HK"/>
              </w:rPr>
            </w:pPr>
            <w:r w:rsidRPr="00344540">
              <w:rPr>
                <w:rFonts w:ascii="Segoe UI" w:eastAsia="DengXian" w:hAnsi="Segoe UI" w:cs="Segoe UI"/>
                <w:color w:val="000000" w:themeColor="text1"/>
                <w:kern w:val="0"/>
                <w:szCs w:val="21"/>
                <w:lang w:val="en-HK"/>
              </w:rPr>
              <w:t>China entered the quarter with solid footing following its 2025 growth target being met and a late-2025 trade truce with Washington. Respondents in Greater China remained among the most globally optimistic on economic conditions, though deflationary pressures and property sector weakness persisted as structural concerns.</w:t>
            </w:r>
          </w:p>
          <w:p w14:paraId="27DB57C6" w14:textId="1FF38DC8" w:rsidR="00344540" w:rsidRPr="00344540" w:rsidRDefault="00344540" w:rsidP="00344540">
            <w:pPr>
              <w:widowControl/>
              <w:spacing w:before="240" w:after="240"/>
              <w:jc w:val="left"/>
              <w:rPr>
                <w:rFonts w:ascii="Segoe UI" w:eastAsia="DengXian" w:hAnsi="Segoe UI" w:cs="Segoe UI"/>
                <w:color w:val="000000" w:themeColor="text1"/>
                <w:kern w:val="0"/>
                <w:szCs w:val="21"/>
                <w:lang w:val="en-HK"/>
              </w:rPr>
            </w:pPr>
            <w:r w:rsidRPr="00344540">
              <w:rPr>
                <w:rFonts w:ascii="Segoe UI" w:eastAsia="DengXian" w:hAnsi="Segoe UI" w:cs="Segoe UI"/>
                <w:color w:val="000000" w:themeColor="text1"/>
                <w:kern w:val="0"/>
                <w:szCs w:val="21"/>
                <w:lang w:val="en-HK"/>
              </w:rPr>
              <w:t>Hong Kong presented a contradictory picture. Trading was highly active with average daily turnover surpassing HKD 200 billion throughout the quarter, yet this liquidity did not translate into broad index gains. External headwinds dragged the Hang Seng into a modest correction, ending the quarter down roughly 2 to 3%. The IPO market remained a bright spot, and Hong Kong's role as a fundraising hub for Chinese firms continued to strengthen as mainland companies shifted away from U.S. listings.</w:t>
            </w:r>
          </w:p>
          <w:p w14:paraId="29A379B3" w14:textId="24C32198" w:rsidR="002456E7" w:rsidRPr="00E61E7A" w:rsidRDefault="00344540" w:rsidP="00344540">
            <w:pPr>
              <w:widowControl/>
              <w:spacing w:before="240" w:after="240"/>
              <w:jc w:val="left"/>
              <w:rPr>
                <w:rFonts w:asciiTheme="minorEastAsia" w:hAnsiTheme="minorEastAsia" w:cs="Segoe UI"/>
                <w:color w:val="EE0000"/>
                <w:kern w:val="0"/>
                <w:szCs w:val="21"/>
                <w:lang w:val="en-HK"/>
              </w:rPr>
            </w:pPr>
            <w:r w:rsidRPr="00344540">
              <w:rPr>
                <w:rFonts w:ascii="Segoe UI" w:eastAsia="DengXian" w:hAnsi="Segoe UI" w:cs="Segoe UI"/>
                <w:color w:val="000000" w:themeColor="text1"/>
                <w:kern w:val="0"/>
                <w:szCs w:val="21"/>
                <w:lang w:val="en-HK"/>
              </w:rPr>
              <w:t xml:space="preserve">Overall, the quarter was defined by geopolitical repricing, inflationary surprises, and a clear investor preference for defensiveness </w:t>
            </w:r>
            <w:proofErr w:type="gramStart"/>
            <w:r w:rsidRPr="00344540">
              <w:rPr>
                <w:rFonts w:ascii="Segoe UI" w:eastAsia="DengXian" w:hAnsi="Segoe UI" w:cs="Segoe UI"/>
                <w:color w:val="000000" w:themeColor="text1"/>
                <w:kern w:val="0"/>
                <w:szCs w:val="21"/>
                <w:lang w:val="en-HK"/>
              </w:rPr>
              <w:t>over growth</w:t>
            </w:r>
            <w:proofErr w:type="gramEnd"/>
            <w:r w:rsidRPr="00344540">
              <w:rPr>
                <w:rFonts w:ascii="Segoe UI" w:eastAsia="DengXian" w:hAnsi="Segoe UI" w:cs="Segoe UI"/>
                <w:color w:val="000000" w:themeColor="text1"/>
                <w:kern w:val="0"/>
                <w:szCs w:val="21"/>
                <w:lang w:val="en-HK"/>
              </w:rPr>
              <w:t xml:space="preserve"> across all three markets.</w:t>
            </w:r>
          </w:p>
        </w:tc>
      </w:tr>
      <w:tr w:rsidR="00C035FB" w:rsidRPr="00555C59" w14:paraId="67878136" w14:textId="77777777" w:rsidTr="00262183">
        <w:trPr>
          <w:trHeight w:val="735"/>
        </w:trPr>
        <w:tc>
          <w:tcPr>
            <w:tcW w:w="1838" w:type="dxa"/>
            <w:shd w:val="clear" w:color="000000" w:fill="D6DCE4"/>
            <w:noWrap/>
            <w:vAlign w:val="center"/>
            <w:hideMark/>
          </w:tcPr>
          <w:p w14:paraId="03BA9FBD" w14:textId="39A5B537" w:rsidR="00C035FB" w:rsidRPr="00C475CB" w:rsidRDefault="00C475CB" w:rsidP="00436A14">
            <w:pPr>
              <w:widowControl/>
              <w:jc w:val="left"/>
              <w:rPr>
                <w:rFonts w:ascii="DengXian" w:eastAsia="DengXian" w:hAnsi="DengXian" w:cs="SimSun" w:hint="eastAsia"/>
                <w:b/>
                <w:bCs/>
                <w:color w:val="000000"/>
                <w:kern w:val="0"/>
                <w:sz w:val="22"/>
              </w:rPr>
            </w:pPr>
            <w:r w:rsidRPr="00C475CB">
              <w:rPr>
                <w:rFonts w:ascii="DengXian" w:eastAsia="DengXian" w:hAnsi="DengXian" w:cs="SimSun" w:hint="eastAsia"/>
                <w:b/>
                <w:bCs/>
                <w:color w:val="000000"/>
                <w:kern w:val="0"/>
                <w:sz w:val="22"/>
              </w:rPr>
              <w:lastRenderedPageBreak/>
              <w:t>Performance</w:t>
            </w:r>
          </w:p>
        </w:tc>
        <w:tc>
          <w:tcPr>
            <w:tcW w:w="8647" w:type="dxa"/>
            <w:noWrap/>
            <w:vAlign w:val="center"/>
            <w:hideMark/>
          </w:tcPr>
          <w:p w14:paraId="298ED4D4" w14:textId="2177A85A" w:rsidR="00C035FB" w:rsidRPr="00090C60" w:rsidRDefault="00AC2538" w:rsidP="00436A14">
            <w:pPr>
              <w:widowControl/>
              <w:jc w:val="left"/>
              <w:rPr>
                <w:rFonts w:ascii="Segoe UI" w:hAnsi="Segoe UI" w:cs="Segoe UI"/>
                <w:color w:val="000000"/>
                <w:kern w:val="0"/>
                <w:sz w:val="16"/>
                <w:szCs w:val="16"/>
                <w:lang w:val="en-HK"/>
              </w:rPr>
            </w:pPr>
            <w:r>
              <w:rPr>
                <w:rFonts w:ascii="Segoe UI" w:eastAsia="DengXian" w:hAnsi="Segoe UI" w:cs="Segoe UI" w:hint="eastAsia"/>
                <w:kern w:val="0"/>
                <w:szCs w:val="21"/>
              </w:rPr>
              <w:t>+0</w:t>
            </w:r>
            <w:r w:rsidRPr="00AC2538">
              <w:rPr>
                <w:rFonts w:ascii="Segoe UI" w:eastAsia="DengXian" w:hAnsi="Segoe UI" w:cs="Segoe UI"/>
                <w:kern w:val="0"/>
                <w:szCs w:val="21"/>
              </w:rPr>
              <w:t>.7</w:t>
            </w:r>
            <w:r>
              <w:rPr>
                <w:rFonts w:ascii="Segoe UI" w:eastAsia="DengXian" w:hAnsi="Segoe UI" w:cs="Segoe UI" w:hint="eastAsia"/>
                <w:kern w:val="0"/>
                <w:szCs w:val="21"/>
              </w:rPr>
              <w:t>3</w:t>
            </w:r>
            <w:r w:rsidRPr="00AC2538">
              <w:rPr>
                <w:rFonts w:ascii="Segoe UI" w:eastAsia="DengXian" w:hAnsi="Segoe UI" w:cs="Segoe UI"/>
                <w:kern w:val="0"/>
                <w:szCs w:val="21"/>
              </w:rPr>
              <w:t>%</w:t>
            </w:r>
            <w:r>
              <w:rPr>
                <w:rFonts w:ascii="Segoe UI" w:eastAsia="DengXian" w:hAnsi="Segoe UI" w:cs="Segoe UI" w:hint="eastAsia"/>
                <w:kern w:val="0"/>
                <w:szCs w:val="21"/>
              </w:rPr>
              <w:t xml:space="preserve"> since i</w:t>
            </w:r>
            <w:r w:rsidR="00664B81">
              <w:rPr>
                <w:rFonts w:ascii="Segoe UI" w:eastAsia="DengXian" w:hAnsi="Segoe UI" w:cs="Segoe UI" w:hint="eastAsia"/>
                <w:kern w:val="0"/>
                <w:szCs w:val="21"/>
              </w:rPr>
              <w:t>ssuance</w:t>
            </w:r>
            <w:r w:rsidRPr="00AC2538">
              <w:rPr>
                <w:rFonts w:ascii="Segoe UI" w:eastAsia="DengXian" w:hAnsi="Segoe UI" w:cs="Segoe UI"/>
                <w:kern w:val="0"/>
                <w:szCs w:val="21"/>
              </w:rPr>
              <w:t xml:space="preserve"> (see Figure 1).</w:t>
            </w:r>
          </w:p>
        </w:tc>
      </w:tr>
      <w:tr w:rsidR="00C035FB" w:rsidRPr="00555C59" w14:paraId="08B6D6D7" w14:textId="77777777" w:rsidTr="00262183">
        <w:trPr>
          <w:trHeight w:val="735"/>
        </w:trPr>
        <w:tc>
          <w:tcPr>
            <w:tcW w:w="1838" w:type="dxa"/>
            <w:shd w:val="clear" w:color="000000" w:fill="D6DCE4"/>
            <w:noWrap/>
            <w:vAlign w:val="center"/>
            <w:hideMark/>
          </w:tcPr>
          <w:p w14:paraId="5474D74C" w14:textId="2C02A302" w:rsidR="00C035FB" w:rsidRPr="00C475CB" w:rsidRDefault="00C475CB" w:rsidP="00436A14">
            <w:pPr>
              <w:widowControl/>
              <w:jc w:val="left"/>
              <w:rPr>
                <w:rFonts w:ascii="DengXian" w:eastAsia="DengXian" w:hAnsi="DengXian" w:cs="SimSun"/>
                <w:b/>
                <w:bCs/>
                <w:color w:val="000000"/>
                <w:kern w:val="0"/>
                <w:sz w:val="22"/>
              </w:rPr>
            </w:pPr>
            <w:r w:rsidRPr="00C475CB">
              <w:rPr>
                <w:rFonts w:ascii="DengXian" w:eastAsia="DengXian" w:hAnsi="DengXian" w:cs="SimSun"/>
                <w:b/>
                <w:bCs/>
                <w:color w:val="000000"/>
                <w:kern w:val="0"/>
                <w:sz w:val="22"/>
              </w:rPr>
              <w:t>Investment Strategies and Allocation</w:t>
            </w:r>
          </w:p>
        </w:tc>
        <w:tc>
          <w:tcPr>
            <w:tcW w:w="8647" w:type="dxa"/>
            <w:noWrap/>
            <w:vAlign w:val="center"/>
            <w:hideMark/>
          </w:tcPr>
          <w:p w14:paraId="49CC39B7" w14:textId="77777777" w:rsidR="00344540" w:rsidRDefault="00344540" w:rsidP="00344540">
            <w:pPr>
              <w:widowControl/>
              <w:spacing w:before="240" w:after="240"/>
              <w:jc w:val="left"/>
              <w:rPr>
                <w:rFonts w:ascii="Segoe UI" w:hAnsi="Segoe UI" w:cs="Segoe UI"/>
                <w:color w:val="000000" w:themeColor="text1"/>
                <w:kern w:val="0"/>
                <w:szCs w:val="21"/>
                <w:lang w:val="en-HK"/>
              </w:rPr>
            </w:pPr>
            <w:r w:rsidRPr="00344540">
              <w:rPr>
                <w:rFonts w:ascii="Segoe UI" w:hAnsi="Segoe UI" w:cs="Segoe UI"/>
                <w:color w:val="000000" w:themeColor="text1"/>
                <w:kern w:val="0"/>
                <w:szCs w:val="21"/>
                <w:lang w:val="en-HK"/>
              </w:rPr>
              <w:t>The portfolio's orientation toward capital preservation during Q1 was well-founded and is supported by the data. With the U.S. market declining roughly 4% over the quarter and inflation re-accelerating to 3.3% by March, deploying aggressively into equities would have been premature. Holding a substantial cash buffer preserves optionality at a time when monetary policy direction remains uncertain and the Federal Reserve finds itself constrained by competing pressures on both growth and prices.</w:t>
            </w:r>
          </w:p>
          <w:p w14:paraId="217460EB" w14:textId="221C60D1" w:rsidR="00CC11B0" w:rsidRPr="00E61E7A" w:rsidRDefault="00344540" w:rsidP="00344540">
            <w:pPr>
              <w:widowControl/>
              <w:spacing w:before="240" w:after="240"/>
              <w:jc w:val="left"/>
              <w:rPr>
                <w:rFonts w:ascii="Segoe UI" w:eastAsia="DengXian" w:hAnsi="Segoe UI" w:cs="Segoe UI"/>
                <w:color w:val="EE0000"/>
                <w:kern w:val="0"/>
                <w:szCs w:val="21"/>
              </w:rPr>
            </w:pPr>
            <w:r w:rsidRPr="00344540">
              <w:rPr>
                <w:rFonts w:ascii="Segoe UI" w:hAnsi="Segoe UI" w:cs="Segoe UI"/>
                <w:color w:val="000000" w:themeColor="text1"/>
                <w:kern w:val="0"/>
                <w:szCs w:val="21"/>
                <w:lang w:val="en-HK"/>
              </w:rPr>
              <w:t>The selective allocation to Technology reflects a considered, long-term conviction rather than a chase for near-term momentum. Consensus expectations point to Big Tech earnings growth of roughly 22% in 2026 and 2027, continuing to outpace the broader market.</w:t>
            </w:r>
            <w:r>
              <w:rPr>
                <w:rFonts w:ascii="Segoe UI" w:hAnsi="Segoe UI" w:cs="Segoe UI" w:hint="eastAsia"/>
                <w:color w:val="000000" w:themeColor="text1"/>
                <w:kern w:val="0"/>
                <w:szCs w:val="21"/>
                <w:lang w:val="en-HK"/>
              </w:rPr>
              <w:t xml:space="preserve"> </w:t>
            </w:r>
            <w:r w:rsidRPr="00344540">
              <w:rPr>
                <w:rFonts w:ascii="Segoe UI" w:hAnsi="Segoe UI" w:cs="Segoe UI"/>
                <w:color w:val="000000" w:themeColor="text1"/>
                <w:kern w:val="0"/>
                <w:szCs w:val="21"/>
                <w:lang w:val="en-HK"/>
              </w:rPr>
              <w:t xml:space="preserve">Morgan Stanley estimates that nearly $3 trillion of AI-related infrastructure investment will flow through the global economy by 2028, with more than 80% of that spending still ahead. The Q1 pullback in tech names arguably makes current entry points more attractive on a forward basis. The Consumer Cyclical allocation is equally grounded in evidence: retail and food services sales rose 0.6% in February and were up 3.7% year on year, </w:t>
            </w:r>
            <w:proofErr w:type="spellStart"/>
            <w:r w:rsidRPr="00344540">
              <w:rPr>
                <w:rFonts w:ascii="Segoe UI" w:hAnsi="Segoe UI" w:cs="Segoe UI"/>
                <w:color w:val="000000" w:themeColor="text1"/>
                <w:kern w:val="0"/>
                <w:szCs w:val="21"/>
                <w:lang w:val="en-HK"/>
              </w:rPr>
              <w:t>signaling</w:t>
            </w:r>
            <w:proofErr w:type="spellEnd"/>
            <w:r w:rsidRPr="00344540">
              <w:rPr>
                <w:rFonts w:ascii="Segoe UI" w:hAnsi="Segoe UI" w:cs="Segoe UI"/>
                <w:color w:val="000000" w:themeColor="text1"/>
                <w:kern w:val="0"/>
                <w:szCs w:val="21"/>
                <w:lang w:val="en-HK"/>
              </w:rPr>
              <w:t xml:space="preserve"> ongoing expansion in household demand. For Q1 2026, the LSEG Retail and Restaurant Index is tracking a 6.1% blended estimated revenue growth rate, with six out of ten consumer-related industries turning positive. This is not a momentum trade. It is a recognition that the consumer, while more selective, has not broken.</w:t>
            </w:r>
          </w:p>
        </w:tc>
      </w:tr>
      <w:tr w:rsidR="00C035FB" w:rsidRPr="00555C59" w14:paraId="3CC5DA48" w14:textId="77777777" w:rsidTr="00862B99">
        <w:trPr>
          <w:trHeight w:val="735"/>
        </w:trPr>
        <w:tc>
          <w:tcPr>
            <w:tcW w:w="1838" w:type="dxa"/>
            <w:shd w:val="clear" w:color="000000" w:fill="D6DCE4"/>
            <w:noWrap/>
            <w:vAlign w:val="center"/>
            <w:hideMark/>
          </w:tcPr>
          <w:p w14:paraId="695CA3CF" w14:textId="4C87EEAB" w:rsidR="00C035FB" w:rsidRPr="00C475CB" w:rsidRDefault="00C475CB" w:rsidP="00C475CB">
            <w:pPr>
              <w:widowControl/>
              <w:spacing w:before="240" w:after="240"/>
              <w:jc w:val="left"/>
              <w:rPr>
                <w:rFonts w:ascii="DengXian" w:eastAsia="DengXian" w:hAnsi="DengXian" w:cs="SimSun"/>
                <w:b/>
                <w:bCs/>
                <w:color w:val="000000"/>
                <w:kern w:val="0"/>
                <w:sz w:val="22"/>
              </w:rPr>
            </w:pPr>
            <w:r w:rsidRPr="00C475CB">
              <w:rPr>
                <w:rFonts w:ascii="DengXian" w:eastAsia="DengXian" w:hAnsi="DengXian" w:cs="SimSun"/>
                <w:b/>
                <w:bCs/>
                <w:color w:val="000000"/>
                <w:kern w:val="0"/>
                <w:sz w:val="22"/>
              </w:rPr>
              <w:t>Outlook</w:t>
            </w:r>
          </w:p>
        </w:tc>
        <w:tc>
          <w:tcPr>
            <w:tcW w:w="8647" w:type="dxa"/>
            <w:noWrap/>
            <w:vAlign w:val="center"/>
          </w:tcPr>
          <w:p w14:paraId="14124BAD" w14:textId="77777777" w:rsidR="00344540" w:rsidRPr="00344540" w:rsidRDefault="00344540" w:rsidP="00344540">
            <w:pPr>
              <w:widowControl/>
              <w:spacing w:before="240" w:after="240"/>
              <w:jc w:val="left"/>
              <w:rPr>
                <w:rFonts w:ascii="Segoe UI" w:hAnsi="Segoe UI" w:cs="Segoe UI"/>
                <w:color w:val="000000" w:themeColor="text1"/>
                <w:kern w:val="0"/>
                <w:szCs w:val="21"/>
                <w:lang w:val="en-HK"/>
              </w:rPr>
            </w:pPr>
            <w:r w:rsidRPr="00344540">
              <w:rPr>
                <w:rFonts w:ascii="Segoe UI" w:hAnsi="Segoe UI" w:cs="Segoe UI"/>
                <w:color w:val="000000" w:themeColor="text1"/>
                <w:kern w:val="0"/>
                <w:szCs w:val="21"/>
                <w:lang w:val="en-HK"/>
              </w:rPr>
              <w:t>The case for a cautiously constructive posture into the second half of 2026 rests on several converging data points, even if near-term risks remain elevated.</w:t>
            </w:r>
          </w:p>
          <w:p w14:paraId="1CEDEC5D" w14:textId="6978F770" w:rsidR="00344540" w:rsidRPr="00344540" w:rsidRDefault="00344540" w:rsidP="00344540">
            <w:pPr>
              <w:widowControl/>
              <w:spacing w:before="240" w:after="240"/>
              <w:jc w:val="left"/>
              <w:rPr>
                <w:rFonts w:ascii="Segoe UI" w:hAnsi="Segoe UI" w:cs="Segoe UI"/>
                <w:color w:val="000000" w:themeColor="text1"/>
                <w:kern w:val="0"/>
                <w:szCs w:val="21"/>
                <w:lang w:val="en-HK"/>
              </w:rPr>
            </w:pPr>
            <w:r w:rsidRPr="00344540">
              <w:rPr>
                <w:rFonts w:ascii="Segoe UI" w:hAnsi="Segoe UI" w:cs="Segoe UI"/>
                <w:color w:val="000000" w:themeColor="text1"/>
                <w:kern w:val="0"/>
                <w:szCs w:val="21"/>
                <w:lang w:val="en-HK"/>
              </w:rPr>
              <w:lastRenderedPageBreak/>
              <w:t xml:space="preserve">On the consumer front, the resilience observed in Q1 is more durable than sentiment headlines suggest. U.S. retail sales climbed 1.7% month on month in March 2026, the steepest rise since March 2025, with core retail sales rising 0.7% and beating forecasts of 0.2%, driven by broad-based gains across motor vehicles, electronics, furniture, and general merchandise. </w:t>
            </w:r>
            <w:r>
              <w:rPr>
                <w:rFonts w:ascii="Segoe UI" w:hAnsi="Segoe UI" w:cs="Segoe UI" w:hint="eastAsia"/>
                <w:color w:val="000000" w:themeColor="text1"/>
                <w:kern w:val="0"/>
                <w:szCs w:val="21"/>
                <w:lang w:val="en-HK"/>
              </w:rPr>
              <w:t xml:space="preserve">Tax </w:t>
            </w:r>
            <w:r w:rsidRPr="00344540">
              <w:rPr>
                <w:rFonts w:ascii="Segoe UI" w:hAnsi="Segoe UI" w:cs="Segoe UI"/>
                <w:color w:val="000000" w:themeColor="text1"/>
                <w:kern w:val="0"/>
                <w:szCs w:val="21"/>
                <w:lang w:val="en-HK"/>
              </w:rPr>
              <w:t>cut legislation passed last year is projected to translate into an additional $50 billion in individual tax refunds on 2025 returns, providing a meaningful offset to higher energy costs. This suggests that even with elevated oil prices, disposable income support could sustain consumer activity through at least mid-year, reinforcing the rationale for retaining Consumer Cyclical exposure.</w:t>
            </w:r>
          </w:p>
          <w:p w14:paraId="6E917BFA" w14:textId="0047E7AA" w:rsidR="00344540" w:rsidRPr="00344540" w:rsidRDefault="00344540" w:rsidP="00344540">
            <w:pPr>
              <w:widowControl/>
              <w:spacing w:before="240" w:after="240"/>
              <w:jc w:val="left"/>
              <w:rPr>
                <w:rFonts w:ascii="Segoe UI" w:hAnsi="Segoe UI" w:cs="Segoe UI"/>
                <w:color w:val="000000" w:themeColor="text1"/>
                <w:kern w:val="0"/>
                <w:szCs w:val="21"/>
                <w:lang w:val="en-HK"/>
              </w:rPr>
            </w:pPr>
            <w:r w:rsidRPr="00344540">
              <w:rPr>
                <w:rFonts w:ascii="Segoe UI" w:hAnsi="Segoe UI" w:cs="Segoe UI"/>
                <w:color w:val="000000" w:themeColor="text1"/>
                <w:kern w:val="0"/>
                <w:szCs w:val="21"/>
                <w:lang w:val="en-HK"/>
              </w:rPr>
              <w:t>The Technology sector remains the most compelling structural story, despite its difficult Q1. The valuation reset that accompanied the broader market selloff has, if anything, improved the risk to reward profile. Information Technology and Communication Services are projected to lead S&amp;P 500 revenue growth in 2026, and the estimated net profit margin for the S&amp;P 500 stands at 13.9%, well above the 10-year average of 11.0%.</w:t>
            </w:r>
            <w:r>
              <w:rPr>
                <w:rFonts w:ascii="Segoe UI" w:hAnsi="Segoe UI" w:cs="Segoe UI" w:hint="eastAsia"/>
                <w:color w:val="000000" w:themeColor="text1"/>
                <w:kern w:val="0"/>
                <w:szCs w:val="21"/>
                <w:lang w:val="en-HK"/>
              </w:rPr>
              <w:t xml:space="preserve"> </w:t>
            </w:r>
            <w:r w:rsidRPr="00344540">
              <w:rPr>
                <w:rFonts w:ascii="Segoe UI" w:hAnsi="Segoe UI" w:cs="Segoe UI"/>
                <w:color w:val="000000" w:themeColor="text1"/>
                <w:kern w:val="0"/>
                <w:szCs w:val="21"/>
                <w:lang w:val="en-HK"/>
              </w:rPr>
              <w:t>Critically, AI adoption is shifting from pilot programs toward tangible productivity solutions, with AI adopters seeing cash flow margin expansion outpacing the global average by a factor of two. This is no longer speculative narrative; it is beginning to show up in earnings.</w:t>
            </w:r>
          </w:p>
          <w:p w14:paraId="5E4E056D" w14:textId="774C7653" w:rsidR="00344540" w:rsidRPr="00344540" w:rsidRDefault="00344540" w:rsidP="00344540">
            <w:pPr>
              <w:widowControl/>
              <w:spacing w:before="240" w:after="240"/>
              <w:jc w:val="left"/>
              <w:rPr>
                <w:rFonts w:ascii="Segoe UI" w:hAnsi="Segoe UI" w:cs="Segoe UI"/>
                <w:color w:val="000000" w:themeColor="text1"/>
                <w:kern w:val="0"/>
                <w:szCs w:val="21"/>
                <w:lang w:val="en-HK"/>
              </w:rPr>
            </w:pPr>
            <w:r w:rsidRPr="00344540">
              <w:rPr>
                <w:rFonts w:ascii="Segoe UI" w:hAnsi="Segoe UI" w:cs="Segoe UI"/>
                <w:color w:val="000000" w:themeColor="text1"/>
                <w:kern w:val="0"/>
                <w:szCs w:val="21"/>
                <w:lang w:val="en-HK"/>
              </w:rPr>
              <w:t>The geopolitical risk environment, while still elevated, may be approaching a turning point. The Iran conflict triggered the most acute phase of Q1 volatility, but energy markets tend to price in conflict premiums swiftly, and any de-escalation could release meaningful pent-up demand for risk assets. On the monetary policy front, markets continue to price in two Fed rate cuts in 2026, which if delivered in the second half would ease financial conditions and provide a supportive tailwind for both equities and credit.</w:t>
            </w:r>
          </w:p>
          <w:p w14:paraId="72331E1B" w14:textId="77777777" w:rsidR="00344540" w:rsidRPr="00344540" w:rsidRDefault="00344540" w:rsidP="00344540">
            <w:pPr>
              <w:widowControl/>
              <w:spacing w:before="240" w:after="240"/>
              <w:jc w:val="left"/>
              <w:rPr>
                <w:rFonts w:ascii="Segoe UI" w:hAnsi="Segoe UI" w:cs="Segoe UI"/>
                <w:color w:val="000000" w:themeColor="text1"/>
                <w:kern w:val="0"/>
                <w:szCs w:val="21"/>
                <w:lang w:val="en-HK"/>
              </w:rPr>
            </w:pPr>
            <w:r w:rsidRPr="00344540">
              <w:rPr>
                <w:rFonts w:ascii="Segoe UI" w:hAnsi="Segoe UI" w:cs="Segoe UI"/>
                <w:color w:val="000000" w:themeColor="text1"/>
                <w:kern w:val="0"/>
                <w:szCs w:val="21"/>
                <w:lang w:val="en-HK"/>
              </w:rPr>
              <w:t>China's Q1 GDP beat of 5% against a consensus of 4.8% is an encouraging data point that should not be overlooked. It suggests that Beijing's measured approach to stimulus is working at the margins, and that the deflationary spiral feared by many has not materialised. Hong Kong's robust IPO pipeline and deepening role as a capital markets hub add a structural layer of support to the broader Greater China investment thesis.</w:t>
            </w:r>
          </w:p>
          <w:p w14:paraId="220534C3" w14:textId="2E16E726" w:rsidR="002456E7" w:rsidRPr="00E61E7A" w:rsidRDefault="00344540" w:rsidP="00344540">
            <w:pPr>
              <w:widowControl/>
              <w:spacing w:before="240" w:after="240"/>
              <w:jc w:val="left"/>
              <w:rPr>
                <w:rFonts w:ascii="Segoe UI" w:hAnsi="Segoe UI" w:cs="Segoe UI"/>
                <w:color w:val="EE0000"/>
                <w:kern w:val="0"/>
                <w:szCs w:val="21"/>
                <w:lang w:val="en-HK"/>
              </w:rPr>
            </w:pPr>
            <w:r w:rsidRPr="00344540">
              <w:rPr>
                <w:rFonts w:ascii="Segoe UI" w:hAnsi="Segoe UI" w:cs="Segoe UI"/>
                <w:color w:val="000000" w:themeColor="text1"/>
                <w:kern w:val="0"/>
                <w:szCs w:val="21"/>
                <w:lang w:val="en-HK"/>
              </w:rPr>
              <w:t>The overall posture entering Q2 is one of patience with a constructive bias. Cash remains the anchor, protecting capital while preserving the flexibility to deploy into Technology and Consumer Cyclical names as volatility subsides. The building blocks for a stronger second half are credible, and the Q1 drawdown has, in several respects, created a more attractive entry point than existed at the start of the year.</w:t>
            </w:r>
          </w:p>
        </w:tc>
      </w:tr>
    </w:tbl>
    <w:p w14:paraId="1765F44F" w14:textId="77777777" w:rsidR="00E408B0" w:rsidRDefault="00E408B0" w:rsidP="00664B81">
      <w:pPr>
        <w:spacing w:before="240" w:after="240"/>
        <w:jc w:val="left"/>
        <w:rPr>
          <w:rStyle w:val="Strong"/>
          <w:rFonts w:eastAsia="DengXian"/>
          <w:bdr w:val="none" w:sz="0" w:space="0" w:color="auto" w:frame="1"/>
        </w:rPr>
      </w:pPr>
    </w:p>
    <w:p w14:paraId="498490AE" w14:textId="77777777" w:rsidR="00E408B0" w:rsidRDefault="00E408B0">
      <w:pPr>
        <w:widowControl/>
        <w:jc w:val="left"/>
        <w:rPr>
          <w:rStyle w:val="Strong"/>
          <w:rFonts w:eastAsia="DengXian"/>
          <w:bdr w:val="none" w:sz="0" w:space="0" w:color="auto" w:frame="1"/>
        </w:rPr>
      </w:pPr>
      <w:r>
        <w:rPr>
          <w:rStyle w:val="Strong"/>
          <w:rFonts w:eastAsia="DengXian"/>
          <w:bdr w:val="none" w:sz="0" w:space="0" w:color="auto" w:frame="1"/>
        </w:rPr>
        <w:br w:type="page"/>
      </w:r>
    </w:p>
    <w:p w14:paraId="41D03527" w14:textId="3D5A3A8A" w:rsidR="00664B81" w:rsidRPr="00780B91" w:rsidRDefault="00664B81" w:rsidP="00664B81">
      <w:pPr>
        <w:spacing w:before="240" w:after="240"/>
        <w:jc w:val="left"/>
        <w:rPr>
          <w:rStyle w:val="Strong"/>
          <w:rFonts w:eastAsia="DengXian"/>
          <w:bdr w:val="none" w:sz="0" w:space="0" w:color="auto" w:frame="1"/>
        </w:rPr>
      </w:pPr>
      <w:r w:rsidRPr="00780B91">
        <w:rPr>
          <w:rStyle w:val="Strong"/>
          <w:rFonts w:eastAsia="DengXian"/>
          <w:bdr w:val="none" w:sz="0" w:space="0" w:color="auto" w:frame="1"/>
        </w:rPr>
        <w:lastRenderedPageBreak/>
        <w:t xml:space="preserve">Figure </w:t>
      </w:r>
      <w:r>
        <w:rPr>
          <w:rStyle w:val="Strong"/>
          <w:rFonts w:eastAsia="DengXian" w:hint="eastAsia"/>
          <w:bdr w:val="none" w:sz="0" w:space="0" w:color="auto" w:frame="1"/>
        </w:rPr>
        <w:t>1</w:t>
      </w:r>
      <w:r w:rsidRPr="00780B91">
        <w:rPr>
          <w:rStyle w:val="Strong"/>
          <w:rFonts w:eastAsia="DengXian"/>
          <w:bdr w:val="none" w:sz="0" w:space="0" w:color="auto" w:frame="1"/>
        </w:rPr>
        <w:t xml:space="preserve">. Performance of </w:t>
      </w:r>
      <w:r w:rsidRPr="00BF3F5F">
        <w:rPr>
          <w:rStyle w:val="Strong"/>
          <w:rFonts w:eastAsia="DengXian"/>
          <w:bdr w:val="none" w:sz="0" w:space="0" w:color="auto" w:frame="1"/>
        </w:rPr>
        <w:t>Excelerate Multi Asset Income Fund</w:t>
      </w:r>
    </w:p>
    <w:p w14:paraId="6B93F747" w14:textId="40CC0A01" w:rsidR="00664B81" w:rsidRDefault="00914315" w:rsidP="00664B81">
      <w:pPr>
        <w:spacing w:before="240" w:after="240"/>
      </w:pPr>
      <w:r>
        <w:rPr>
          <w:noProof/>
        </w:rPr>
        <w:drawing>
          <wp:inline distT="0" distB="0" distL="0" distR="0" wp14:anchorId="51DAB44F" wp14:editId="6CC0F035">
            <wp:extent cx="6643370" cy="3789045"/>
            <wp:effectExtent l="0" t="0" r="5080" b="1905"/>
            <wp:docPr id="2135632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3370" cy="3789045"/>
                    </a:xfrm>
                    <a:prstGeom prst="rect">
                      <a:avLst/>
                    </a:prstGeom>
                    <a:noFill/>
                    <a:ln>
                      <a:noFill/>
                    </a:ln>
                  </pic:spPr>
                </pic:pic>
              </a:graphicData>
            </a:graphic>
          </wp:inline>
        </w:drawing>
      </w:r>
    </w:p>
    <w:p w14:paraId="26823E07" w14:textId="3F862272" w:rsidR="00664B81" w:rsidRPr="00735B45" w:rsidRDefault="00664B81" w:rsidP="00664B81">
      <w:pPr>
        <w:spacing w:before="240" w:after="240"/>
        <w:rPr>
          <w:rFonts w:ascii="Segoe UI" w:eastAsia="DengXian" w:hAnsi="Segoe UI" w:cs="Segoe UI"/>
          <w:shd w:val="clear" w:color="auto" w:fill="FFFFFF"/>
          <w:lang w:val="en-HK"/>
        </w:rPr>
      </w:pPr>
      <w:r w:rsidRPr="00E66F6B">
        <w:rPr>
          <w:rFonts w:ascii="Segoe UI" w:eastAsia="DengXian" w:hAnsi="Segoe UI" w:cs="Segoe UI"/>
          <w:shd w:val="clear" w:color="auto" w:fill="FFFFFF"/>
        </w:rPr>
        <w:t>*</w:t>
      </w:r>
      <w:r w:rsidRPr="005B07A8">
        <w:rPr>
          <w:rFonts w:ascii="Segoe UI" w:eastAsia="DengXian" w:hAnsi="Segoe UI" w:cs="Segoe UI"/>
          <w:shd w:val="clear" w:color="auto" w:fill="FFFFFF"/>
          <w:lang w:val="en"/>
        </w:rPr>
        <w:t xml:space="preserve">The Excelerate Multi Asset Income Fund was officially </w:t>
      </w:r>
      <w:r>
        <w:rPr>
          <w:rFonts w:ascii="Segoe UI" w:eastAsia="DengXian" w:hAnsi="Segoe UI" w:cs="Segoe UI" w:hint="eastAsia"/>
          <w:shd w:val="clear" w:color="auto" w:fill="FFFFFF"/>
          <w:lang w:val="en"/>
        </w:rPr>
        <w:t>issued</w:t>
      </w:r>
      <w:r w:rsidRPr="005B07A8">
        <w:rPr>
          <w:rFonts w:ascii="Segoe UI" w:eastAsia="DengXian" w:hAnsi="Segoe UI" w:cs="Segoe UI"/>
          <w:shd w:val="clear" w:color="auto" w:fill="FFFFFF"/>
          <w:lang w:val="en"/>
        </w:rPr>
        <w:t xml:space="preserve"> in November 2024</w:t>
      </w:r>
    </w:p>
    <w:p w14:paraId="745378BF" w14:textId="6FDDB31D" w:rsidR="00FB7242" w:rsidRPr="00FC72F7" w:rsidRDefault="00780B91" w:rsidP="00780B91">
      <w:pPr>
        <w:spacing w:before="240" w:after="240"/>
        <w:rPr>
          <w:rFonts w:ascii="Segoe UI" w:hAnsi="Segoe UI" w:cs="Segoe UI"/>
          <w:b/>
          <w:bCs/>
          <w:bdr w:val="none" w:sz="0" w:space="0" w:color="auto" w:frame="1"/>
          <w:shd w:val="clear" w:color="auto" w:fill="FFFFFF"/>
        </w:rPr>
      </w:pPr>
      <w:r w:rsidRPr="00780B91">
        <w:rPr>
          <w:rStyle w:val="Strong"/>
          <w:rFonts w:ascii="Segoe UI" w:eastAsia="DengXian" w:hAnsi="Segoe UI" w:cs="Segoe UI"/>
          <w:bdr w:val="none" w:sz="0" w:space="0" w:color="auto" w:frame="1"/>
          <w:shd w:val="clear" w:color="auto" w:fill="FFFFFF"/>
        </w:rPr>
        <w:t xml:space="preserve">Figure </w:t>
      </w:r>
      <w:r w:rsidR="00664B81">
        <w:rPr>
          <w:rStyle w:val="Strong"/>
          <w:rFonts w:ascii="Segoe UI" w:eastAsia="DengXian" w:hAnsi="Segoe UI" w:cs="Segoe UI" w:hint="eastAsia"/>
          <w:bdr w:val="none" w:sz="0" w:space="0" w:color="auto" w:frame="1"/>
          <w:shd w:val="clear" w:color="auto" w:fill="FFFFFF"/>
        </w:rPr>
        <w:t>2</w:t>
      </w:r>
      <w:r w:rsidRPr="00780B91">
        <w:rPr>
          <w:rStyle w:val="Strong"/>
          <w:rFonts w:ascii="Segoe UI" w:eastAsia="DengXian" w:hAnsi="Segoe UI" w:cs="Segoe UI"/>
          <w:bdr w:val="none" w:sz="0" w:space="0" w:color="auto" w:frame="1"/>
          <w:shd w:val="clear" w:color="auto" w:fill="FFFFFF"/>
        </w:rPr>
        <w:t xml:space="preserve">. Portfolio distribution as of </w:t>
      </w:r>
      <w:r>
        <w:rPr>
          <w:rStyle w:val="Strong"/>
          <w:rFonts w:ascii="Segoe UI" w:eastAsia="DengXian" w:hAnsi="Segoe UI" w:cs="Segoe UI" w:hint="eastAsia"/>
          <w:bdr w:val="none" w:sz="0" w:space="0" w:color="auto" w:frame="1"/>
          <w:shd w:val="clear" w:color="auto" w:fill="FFFFFF"/>
        </w:rPr>
        <w:t>March 31, 2026</w:t>
      </w:r>
      <w:r w:rsidR="009C4AD2">
        <w:rPr>
          <w:rStyle w:val="Strong"/>
          <w:rFonts w:ascii="Segoe UI" w:eastAsia="DengXian" w:hAnsi="Segoe UI" w:cs="Segoe UI" w:hint="eastAsia"/>
          <w:bdr w:val="none" w:sz="0" w:space="0" w:color="auto" w:frame="1"/>
          <w:shd w:val="clear" w:color="auto" w:fill="FFFFFF"/>
        </w:rPr>
        <w:t xml:space="preserve">                       </w:t>
      </w:r>
      <w:r w:rsidR="00FB7242">
        <w:rPr>
          <w:rStyle w:val="Strong"/>
          <w:rFonts w:ascii="Segoe UI" w:eastAsia="DengXian" w:hAnsi="Segoe UI" w:cs="Segoe UI" w:hint="eastAsia"/>
          <w:bdr w:val="none" w:sz="0" w:space="0" w:color="auto" w:frame="1"/>
          <w:shd w:val="clear" w:color="auto" w:fill="FFFFFF"/>
        </w:rPr>
        <w:t xml:space="preserve"> </w:t>
      </w:r>
    </w:p>
    <w:p w14:paraId="71F2260A" w14:textId="20B20C2D" w:rsidR="00A748CD" w:rsidRPr="00FC72F7" w:rsidRDefault="00D55F56" w:rsidP="00664B81">
      <w:pPr>
        <w:spacing w:before="240" w:after="240"/>
        <w:jc w:val="left"/>
        <w:rPr>
          <w:rStyle w:val="Strong"/>
          <w:b w:val="0"/>
          <w:bCs w:val="0"/>
        </w:rPr>
      </w:pPr>
      <w:r>
        <w:rPr>
          <w:rStyle w:val="Strong"/>
          <w:b w:val="0"/>
          <w:bCs w:val="0"/>
          <w:noProof/>
        </w:rPr>
        <w:drawing>
          <wp:inline distT="0" distB="0" distL="0" distR="0" wp14:anchorId="5B52F5BA" wp14:editId="4FC4C054">
            <wp:extent cx="4572000" cy="2757170"/>
            <wp:effectExtent l="0" t="0" r="0" b="5080"/>
            <wp:docPr id="1274600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0" cy="2757170"/>
                    </a:xfrm>
                    <a:prstGeom prst="rect">
                      <a:avLst/>
                    </a:prstGeom>
                    <a:noFill/>
                    <a:ln>
                      <a:noFill/>
                    </a:ln>
                  </pic:spPr>
                </pic:pic>
              </a:graphicData>
            </a:graphic>
          </wp:inline>
        </w:drawing>
      </w:r>
    </w:p>
    <w:p w14:paraId="4E4E2ADA" w14:textId="68E4BF86" w:rsidR="007A7BEC" w:rsidRDefault="005B07A8" w:rsidP="007A7BEC">
      <w:pPr>
        <w:rPr>
          <w:rFonts w:hint="eastAsia"/>
        </w:rPr>
      </w:pPr>
      <w:r w:rsidRPr="005B07A8">
        <w:rPr>
          <w:rFonts w:eastAsia="DengXian" w:hint="eastAsia"/>
          <w:b/>
          <w:bCs/>
        </w:rPr>
        <w:t>Data Source:</w:t>
      </w:r>
      <w:r>
        <w:rPr>
          <w:rFonts w:eastAsia="DengXian" w:hint="eastAsia"/>
        </w:rPr>
        <w:t xml:space="preserve"> Excelerate Fund Management Limited</w:t>
      </w:r>
    </w:p>
    <w:p w14:paraId="4AB03450" w14:textId="3601A502" w:rsidR="005B07A8" w:rsidRDefault="005B07A8" w:rsidP="005B07A8">
      <w:pPr>
        <w:rPr>
          <w:rFonts w:eastAsia="DengXian"/>
          <w:lang w:val="en"/>
        </w:rPr>
      </w:pPr>
      <w:r w:rsidRPr="005B07A8">
        <w:rPr>
          <w:rFonts w:eastAsia="DengXian"/>
          <w:b/>
          <w:bCs/>
          <w:lang w:val="en"/>
        </w:rPr>
        <w:t>Update Frequency:</w:t>
      </w:r>
      <w:r w:rsidRPr="005B07A8">
        <w:rPr>
          <w:rFonts w:eastAsia="DengXian"/>
          <w:lang w:val="en"/>
        </w:rPr>
        <w:t xml:space="preserve"> </w:t>
      </w:r>
      <w:r w:rsidR="00A72371">
        <w:rPr>
          <w:rFonts w:eastAsia="DengXian" w:hint="eastAsia"/>
          <w:lang w:val="en"/>
        </w:rPr>
        <w:t>Quarterly</w:t>
      </w:r>
    </w:p>
    <w:p w14:paraId="282393B2" w14:textId="0640A937" w:rsidR="005B07A8" w:rsidRDefault="005B07A8" w:rsidP="005B07A8">
      <w:pPr>
        <w:rPr>
          <w:rFonts w:eastAsia="DengXian"/>
          <w:lang w:val="en"/>
        </w:rPr>
      </w:pPr>
      <w:r w:rsidRPr="005B07A8">
        <w:rPr>
          <w:rFonts w:eastAsia="DengXian"/>
          <w:b/>
          <w:bCs/>
          <w:lang w:val="en"/>
        </w:rPr>
        <w:t>Report Date:</w:t>
      </w:r>
      <w:r w:rsidRPr="005B07A8">
        <w:rPr>
          <w:rFonts w:eastAsia="DengXian"/>
          <w:lang w:val="en"/>
        </w:rPr>
        <w:t xml:space="preserve"> </w:t>
      </w:r>
      <w:r>
        <w:rPr>
          <w:rFonts w:eastAsia="DengXian" w:hint="eastAsia"/>
          <w:lang w:val="en"/>
        </w:rPr>
        <w:t>1 April 2026</w:t>
      </w:r>
      <w:r w:rsidRPr="005B07A8">
        <w:rPr>
          <w:rFonts w:eastAsia="DengXian"/>
          <w:lang w:val="en"/>
        </w:rPr>
        <w:t xml:space="preserve"> </w:t>
      </w:r>
    </w:p>
    <w:p w14:paraId="48E4655E" w14:textId="4EC7542F" w:rsidR="005B07A8" w:rsidRPr="00735B45" w:rsidRDefault="005B07A8" w:rsidP="005B07A8">
      <w:pPr>
        <w:rPr>
          <w:rFonts w:eastAsia="DengXian"/>
          <w:b/>
          <w:bCs/>
          <w:u w:val="single"/>
          <w:lang w:val="en"/>
        </w:rPr>
      </w:pPr>
      <w:r w:rsidRPr="005B07A8">
        <w:rPr>
          <w:rFonts w:eastAsia="DengXian"/>
          <w:b/>
          <w:bCs/>
          <w:u w:val="single"/>
          <w:lang w:val="en"/>
        </w:rPr>
        <w:lastRenderedPageBreak/>
        <w:t>Legal Disclaimer and Notice</w:t>
      </w:r>
      <w:r w:rsidRPr="005B07A8">
        <w:rPr>
          <w:rFonts w:eastAsia="DengXian"/>
          <w:b/>
          <w:bCs/>
          <w:lang w:val="en"/>
        </w:rPr>
        <w:t xml:space="preserve"> </w:t>
      </w:r>
    </w:p>
    <w:p w14:paraId="29365CC5" w14:textId="79A84ECF" w:rsidR="005B07A8" w:rsidRPr="005B07A8" w:rsidRDefault="005B07A8" w:rsidP="005B07A8">
      <w:pPr>
        <w:rPr>
          <w:rFonts w:eastAsia="DengXian"/>
          <w:lang w:val="en-HK"/>
        </w:rPr>
      </w:pPr>
      <w:r w:rsidRPr="005B07A8">
        <w:rPr>
          <w:rFonts w:eastAsia="DengXian"/>
          <w:lang w:val="en"/>
        </w:rPr>
        <w:t>This Fund (“Excelerate Multi Asset Income Fund”) is incorporated under the Securities and Futures Ordinance (Chapter 571) of the Hong Kong Special Administrative Region and operates as an Open-Ended Fund Company (OFC). The operation and management of the Fund comply with the relevant regulations and guidelines of the Hong Kong Monetary Authority and the Securities and Futures Commission. Investors should carefully read the disclaimer before investing in this Fund and seek independent professional advice if in doubt. This Fund is only open to professional investors who meet the requirements of the Hong Kong Securities and Futures Ordinance.</w:t>
      </w:r>
    </w:p>
    <w:p w14:paraId="4D9CB5D4" w14:textId="77777777" w:rsidR="005C260D" w:rsidRPr="005B07A8" w:rsidRDefault="005C260D" w:rsidP="001D37D9">
      <w:pPr>
        <w:rPr>
          <w:lang w:val="en-HK"/>
        </w:rPr>
      </w:pPr>
    </w:p>
    <w:sectPr w:rsidR="005C260D" w:rsidRPr="005B07A8" w:rsidSect="004F1CBC">
      <w:headerReference w:type="default" r:id="rId12"/>
      <w:footerReference w:type="default" r:id="rId13"/>
      <w:type w:val="continuous"/>
      <w:pgSz w:w="11906" w:h="16838"/>
      <w:pgMar w:top="720" w:right="720" w:bottom="720" w:left="720" w:header="794"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97BA6" w14:textId="77777777" w:rsidR="00F52FDD" w:rsidRDefault="00F52FDD" w:rsidP="001741B1">
      <w:r>
        <w:separator/>
      </w:r>
    </w:p>
  </w:endnote>
  <w:endnote w:type="continuationSeparator" w:id="0">
    <w:p w14:paraId="327E3459" w14:textId="77777777" w:rsidR="00F52FDD" w:rsidRDefault="00F52FDD" w:rsidP="0017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微軟正黑體">
    <w:panose1 w:val="020B0604030504040204"/>
    <w:charset w:val="88"/>
    <w:family w:val="swiss"/>
    <w:pitch w:val="variable"/>
    <w:sig w:usb0="000002A7" w:usb1="28CF4400" w:usb2="00000016" w:usb3="00000000" w:csb0="00100009"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5E2E" w14:textId="77777777" w:rsidR="00BB2CC1" w:rsidRPr="00FB1789" w:rsidRDefault="00BB2CC1" w:rsidP="00BB2CC1">
    <w:pPr>
      <w:pStyle w:val="Footer"/>
      <w:cnfStyle w:val="101000000000" w:firstRow="1" w:lastRow="0" w:firstColumn="1" w:lastColumn="0" w:oddVBand="0" w:evenVBand="0" w:oddHBand="0" w:evenHBand="0" w:firstRowFirstColumn="0" w:firstRowLastColumn="0" w:lastRowFirstColumn="0" w:lastRowLastColumn="0"/>
      <w:rPr>
        <w:b/>
        <w:bCs/>
      </w:rPr>
    </w:pPr>
    <w:r w:rsidRPr="00FB1789">
      <w:rPr>
        <w:rFonts w:eastAsia="DengXian"/>
        <w:b/>
        <w:bCs/>
      </w:rPr>
      <w:t>Excelerate Fund Management Limited</w:t>
    </w:r>
  </w:p>
  <w:p w14:paraId="414C08AA" w14:textId="6F512224" w:rsidR="00BB2CC1" w:rsidRPr="00FC72F7" w:rsidRDefault="00BB2CC1" w:rsidP="00BB2CC1">
    <w:pPr>
      <w:pStyle w:val="Footer"/>
      <w:cnfStyle w:val="101000000000" w:firstRow="1" w:lastRow="0" w:firstColumn="1" w:lastColumn="0" w:oddVBand="0" w:evenVBand="0" w:oddHBand="0" w:evenHBand="0" w:firstRowFirstColumn="0" w:firstRowLastColumn="0" w:lastRowFirstColumn="0" w:lastRowLastColumn="0"/>
      <w:rPr>
        <w:rFonts w:eastAsia="DengXian"/>
        <w:lang w:val="en"/>
      </w:rPr>
    </w:pPr>
    <w:r w:rsidRPr="00FB1789">
      <w:rPr>
        <w:rFonts w:eastAsia="DengXian" w:hint="eastAsia"/>
        <w:b/>
        <w:bCs/>
      </w:rPr>
      <w:t>Address</w:t>
    </w:r>
    <w:r w:rsidRPr="00FB1789">
      <w:rPr>
        <w:rFonts w:eastAsia="DengXian" w:hint="eastAsia"/>
      </w:rPr>
      <w:t xml:space="preserve">: </w:t>
    </w:r>
    <w:r w:rsidRPr="00FB1789">
      <w:rPr>
        <w:rFonts w:eastAsia="DengXian"/>
        <w:lang w:val="en"/>
      </w:rPr>
      <w:t>Room 2710, 27/F, Integrated Centre Tower, 302-308</w:t>
    </w:r>
    <w:r w:rsidRPr="00FB1789">
      <w:rPr>
        <w:rFonts w:eastAsia="DengXian" w:hint="eastAsia"/>
        <w:lang w:val="en"/>
      </w:rPr>
      <w:t xml:space="preserve"> </w:t>
    </w:r>
    <w:r w:rsidRPr="00FB1789">
      <w:rPr>
        <w:rFonts w:eastAsia="DengXian"/>
        <w:lang w:val="en"/>
      </w:rPr>
      <w:t>Hennessy Road, Wan Chai, Hong Kong</w:t>
    </w:r>
  </w:p>
  <w:p w14:paraId="6A133101" w14:textId="355930B9" w:rsidR="00BB2CC1" w:rsidRDefault="00BB2CC1" w:rsidP="00BB2CC1">
    <w:pPr>
      <w:pStyle w:val="Footer"/>
      <w:ind w:right="720"/>
    </w:pPr>
    <w:r w:rsidRPr="00FB1789">
      <w:rPr>
        <w:rFonts w:eastAsia="DengXian" w:hint="eastAsia"/>
        <w:b/>
        <w:bCs/>
      </w:rPr>
      <w:t>Contact Number:</w:t>
    </w:r>
    <w:r>
      <w:rPr>
        <w:rFonts w:eastAsia="DengXian" w:hint="eastAsia"/>
        <w:b/>
        <w:bCs/>
      </w:rPr>
      <w:t xml:space="preserve"> </w:t>
    </w:r>
    <w:r w:rsidRPr="00E66F6B">
      <w:rPr>
        <w:rFonts w:eastAsia="DengXian"/>
      </w:rPr>
      <w:t>+852 3468</w:t>
    </w:r>
    <w:r>
      <w:rPr>
        <w:rFonts w:eastAsia="DengXian" w:hint="eastAsia"/>
      </w:rPr>
      <w:t xml:space="preserve"> </w:t>
    </w:r>
    <w:r w:rsidRPr="00E66F6B">
      <w:rPr>
        <w:rFonts w:eastAsia="DengXian"/>
      </w:rPr>
      <w:t>2618</w:t>
    </w:r>
    <w:sdt>
      <w:sdtPr>
        <w:id w:val="-1914700878"/>
        <w:docPartObj>
          <w:docPartGallery w:val="Page Numbers (Bottom of Page)"/>
          <w:docPartUnique/>
        </w:docPartObj>
      </w:sdtPr>
      <w:sdtEndPr>
        <w:rPr>
          <w:noProof/>
        </w:rPr>
      </w:sdtEndPr>
      <w:sdtContent>
        <w:r>
          <w:tab/>
        </w:r>
        <w:r>
          <w:tab/>
        </w:r>
        <w:r>
          <w:tab/>
        </w:r>
        <w:r>
          <w:tab/>
        </w:r>
        <w:r>
          <w:tab/>
        </w:r>
        <w:r>
          <w:rPr>
            <w:rFonts w:hint="eastAsia"/>
          </w:rPr>
          <w:t xml:space="preserve">    </w:t>
        </w:r>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C67D" w14:textId="77777777" w:rsidR="00F52FDD" w:rsidRDefault="00F52FDD" w:rsidP="001741B1">
      <w:r>
        <w:separator/>
      </w:r>
    </w:p>
  </w:footnote>
  <w:footnote w:type="continuationSeparator" w:id="0">
    <w:p w14:paraId="3A21200D" w14:textId="77777777" w:rsidR="00F52FDD" w:rsidRDefault="00F52FDD" w:rsidP="001741B1">
      <w:r>
        <w:continuationSeparator/>
      </w:r>
    </w:p>
  </w:footnote>
  <w:footnote w:id="1">
    <w:p w14:paraId="4D997B54" w14:textId="05737782" w:rsidR="00813404" w:rsidRPr="005F2FB8" w:rsidRDefault="00813404" w:rsidP="008506AB">
      <w:pPr>
        <w:pStyle w:val="FootnoteText"/>
        <w:rPr>
          <w:sz w:val="13"/>
          <w:szCs w:val="13"/>
        </w:rPr>
      </w:pPr>
      <w:r w:rsidRPr="005F2FB8">
        <w:rPr>
          <w:rStyle w:val="FootnoteReference"/>
          <w:sz w:val="13"/>
          <w:szCs w:val="13"/>
        </w:rPr>
        <w:footnoteRef/>
      </w:r>
      <w:r w:rsidRPr="00E66F6B">
        <w:rPr>
          <w:rFonts w:eastAsia="DengXian"/>
          <w:sz w:val="13"/>
          <w:szCs w:val="13"/>
        </w:rPr>
        <w:t xml:space="preserve"> </w:t>
      </w:r>
      <w:r w:rsidR="00EB1FC2" w:rsidRPr="00EB1FC2">
        <w:rPr>
          <w:rFonts w:ascii="Segoe UI" w:eastAsia="DengXian" w:hAnsi="Segoe UI" w:cs="Segoe UI"/>
          <w:i/>
          <w:iCs/>
          <w:sz w:val="13"/>
          <w:szCs w:val="13"/>
          <w:bdr w:val="none" w:sz="0" w:space="0" w:color="auto" w:frame="1"/>
          <w:shd w:val="clear" w:color="auto" w:fill="FFFFFF"/>
        </w:rPr>
        <w:t xml:space="preserve">Open-ended funds are </w:t>
      </w:r>
      <w:r w:rsidR="00EB1FC2" w:rsidRPr="00EB1FC2">
        <w:rPr>
          <w:rFonts w:ascii="Segoe UI" w:eastAsia="DengXian" w:hAnsi="Segoe UI" w:cs="Segoe UI"/>
          <w:b/>
          <w:bCs/>
          <w:i/>
          <w:iCs/>
          <w:sz w:val="13"/>
          <w:szCs w:val="13"/>
          <w:bdr w:val="none" w:sz="0" w:space="0" w:color="auto" w:frame="1"/>
          <w:shd w:val="clear" w:color="auto" w:fill="FFFFFF"/>
        </w:rPr>
        <w:t>products with continuous subscription and redemption</w:t>
      </w:r>
      <w:r w:rsidR="00EB1FC2" w:rsidRPr="00EB1FC2">
        <w:rPr>
          <w:rFonts w:ascii="Segoe UI" w:eastAsia="DengXian" w:hAnsi="Segoe UI" w:cs="Segoe UI"/>
          <w:i/>
          <w:iCs/>
          <w:sz w:val="13"/>
          <w:szCs w:val="13"/>
          <w:bdr w:val="none" w:sz="0" w:space="0" w:color="auto" w:frame="1"/>
          <w:shd w:val="clear" w:color="auto" w:fill="FFFFFF"/>
        </w:rPr>
        <w:t>. Subscriptions and redemptions are allowed daily. In the event of massive redemptions, the manager may postpone payments or suspend redemptions and protect the interests of holders through valuation adjustments and other means. (Investors should carefully read the fund contract, prospectus, and other legal documents to understand the fund's risk and return characteristics and determine whether the fund is suitable for their risk tolerance based on their investment objectives, investment horizon, investment experience, and assets.)</w:t>
      </w:r>
    </w:p>
  </w:footnote>
  <w:footnote w:id="2">
    <w:p w14:paraId="676AD44F" w14:textId="77777777" w:rsidR="00813404" w:rsidRPr="00DD28F0" w:rsidRDefault="00813404" w:rsidP="00EE44CC">
      <w:pPr>
        <w:pStyle w:val="FootnoteText"/>
        <w:rPr>
          <w:sz w:val="13"/>
          <w:szCs w:val="13"/>
        </w:rPr>
      </w:pPr>
      <w:r>
        <w:rPr>
          <w:rStyle w:val="FootnoteReference"/>
        </w:rPr>
        <w:footnoteRef/>
      </w:r>
      <w:r>
        <w:t xml:space="preserve"> </w:t>
      </w:r>
      <w:hyperlink r:id="rId1" w:history="1">
        <w:r w:rsidRPr="00DD28F0">
          <w:rPr>
            <w:rStyle w:val="Hyperlink"/>
            <w:sz w:val="13"/>
            <w:szCs w:val="13"/>
          </w:rPr>
          <w:t>https://www.sfc.hk/en/Regulatory-functions/Products/List-of-Eligible-Collective-Investment-Schemes-under-new-CIES</w:t>
        </w:r>
      </w:hyperlink>
    </w:p>
    <w:p w14:paraId="085FC5ED" w14:textId="77777777" w:rsidR="00813404" w:rsidRPr="00DD28F0" w:rsidRDefault="00813404" w:rsidP="00EE44C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0EA6" w14:textId="556B632A" w:rsidR="006A73AA" w:rsidRPr="00B25BE6" w:rsidRDefault="006A73AA" w:rsidP="001D427F">
    <w:pPr>
      <w:rPr>
        <w:rFonts w:ascii="Segoe UI" w:hAnsi="Segoe UI" w:cs="Segoe UI" w:hint="eastAsia"/>
        <w:b/>
        <w:bCs/>
        <w:sz w:val="16"/>
        <w:szCs w:val="16"/>
        <w:bdr w:val="none" w:sz="0" w:space="0" w:color="auto" w:frame="1"/>
        <w:shd w:val="clear" w:color="auto" w:fill="FFFFFF"/>
        <w:lang w:val="en-HK"/>
      </w:rPr>
    </w:pPr>
    <w:r>
      <w:rPr>
        <w:rFonts w:asciiTheme="majorHAnsi" w:eastAsiaTheme="majorEastAsia" w:hAnsiTheme="majorHAnsi" w:cstheme="majorBidi"/>
        <w:noProof/>
        <w:color w:val="4472C4" w:themeColor="accent1"/>
        <w:sz w:val="24"/>
        <w:szCs w:val="24"/>
      </w:rPr>
      <w:drawing>
        <wp:inline distT="0" distB="0" distL="0" distR="0" wp14:anchorId="2E70307D" wp14:editId="44558393">
          <wp:extent cx="2049780" cy="358325"/>
          <wp:effectExtent l="0" t="0" r="7620" b="3810"/>
          <wp:docPr id="5449521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t="10476" b="13217"/>
                  <a:stretch/>
                </pic:blipFill>
                <pic:spPr bwMode="auto">
                  <a:xfrm>
                    <a:off x="0" y="0"/>
                    <a:ext cx="2049780" cy="358325"/>
                  </a:xfrm>
                  <a:prstGeom prst="rect">
                    <a:avLst/>
                  </a:prstGeom>
                  <a:ln>
                    <a:noFill/>
                  </a:ln>
                  <a:extLst>
                    <a:ext uri="{53640926-AAD7-44D8-BBD7-CCE9431645EC}">
                      <a14:shadowObscured xmlns:a14="http://schemas.microsoft.com/office/drawing/2010/main"/>
                    </a:ext>
                  </a:extLst>
                </pic:spPr>
              </pic:pic>
            </a:graphicData>
          </a:graphic>
        </wp:inline>
      </w:drawing>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t xml:space="preserve"> </w:t>
    </w:r>
    <w:r w:rsidR="00262183">
      <w:rPr>
        <w:rStyle w:val="Strong"/>
        <w:rFonts w:ascii="Segoe UI" w:eastAsia="DengXian" w:hAnsi="Segoe UI" w:cs="Segoe UI" w:hint="eastAsia"/>
        <w:sz w:val="16"/>
        <w:szCs w:val="16"/>
        <w:bdr w:val="none" w:sz="0" w:space="0" w:color="auto" w:frame="1"/>
        <w:shd w:val="clear" w:color="auto" w:fill="FFFFFF"/>
        <w:lang w:val="en-HK"/>
      </w:rPr>
      <w:t xml:space="preserve">                                               </w:t>
    </w:r>
    <w:r w:rsidR="00B25BE6">
      <w:rPr>
        <w:rStyle w:val="Strong"/>
        <w:rFonts w:ascii="Segoe UI" w:eastAsia="DengXian" w:hAnsi="Segoe UI" w:cs="Segoe UI" w:hint="eastAsia"/>
        <w:sz w:val="16"/>
        <w:szCs w:val="16"/>
        <w:bdr w:val="none" w:sz="0" w:space="0" w:color="auto" w:frame="1"/>
        <w:shd w:val="clear" w:color="auto" w:fill="FFFFFF"/>
        <w:lang w:val="en-HK"/>
      </w:rPr>
      <w:t xml:space="preserve">   </w:t>
    </w:r>
    <w:r w:rsidR="00B25BE6">
      <w:rPr>
        <w:rStyle w:val="Strong"/>
        <w:rFonts w:ascii="Segoe UI" w:hAnsi="Segoe UI" w:cs="Segoe UI" w:hint="eastAsia"/>
        <w:sz w:val="16"/>
        <w:szCs w:val="16"/>
        <w:bdr w:val="none" w:sz="0" w:space="0" w:color="auto" w:frame="1"/>
        <w:shd w:val="clear" w:color="auto" w:fill="FFFFFF"/>
      </w:rPr>
      <w:t>March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1A43"/>
    <w:multiLevelType w:val="multilevel"/>
    <w:tmpl w:val="6E26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11C4D"/>
    <w:multiLevelType w:val="hybridMultilevel"/>
    <w:tmpl w:val="CC34761E"/>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24A5D78"/>
    <w:multiLevelType w:val="multilevel"/>
    <w:tmpl w:val="322A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BE6782"/>
    <w:multiLevelType w:val="hybridMultilevel"/>
    <w:tmpl w:val="5BD4717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4D8C2B3C"/>
    <w:multiLevelType w:val="hybridMultilevel"/>
    <w:tmpl w:val="73922DDA"/>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5A2B5FA6"/>
    <w:multiLevelType w:val="hybridMultilevel"/>
    <w:tmpl w:val="76643890"/>
    <w:lvl w:ilvl="0" w:tplc="3C09000F">
      <w:start w:val="1"/>
      <w:numFmt w:val="decimal"/>
      <w:lvlText w:val="%1."/>
      <w:lvlJc w:val="left"/>
      <w:pPr>
        <w:ind w:left="720" w:hanging="360"/>
      </w:p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1420053778">
    <w:abstractNumId w:val="0"/>
  </w:num>
  <w:num w:numId="2" w16cid:durableId="1537498404">
    <w:abstractNumId w:val="2"/>
  </w:num>
  <w:num w:numId="3" w16cid:durableId="1078986766">
    <w:abstractNumId w:val="3"/>
  </w:num>
  <w:num w:numId="4" w16cid:durableId="764033529">
    <w:abstractNumId w:val="4"/>
  </w:num>
  <w:num w:numId="5" w16cid:durableId="1644583383">
    <w:abstractNumId w:val="5"/>
  </w:num>
  <w:num w:numId="6" w16cid:durableId="29234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7D9"/>
    <w:rsid w:val="000125D8"/>
    <w:rsid w:val="000306C8"/>
    <w:rsid w:val="000357C8"/>
    <w:rsid w:val="00044EB3"/>
    <w:rsid w:val="0005597C"/>
    <w:rsid w:val="00090C60"/>
    <w:rsid w:val="00094B9D"/>
    <w:rsid w:val="00096F28"/>
    <w:rsid w:val="000A0608"/>
    <w:rsid w:val="000A19DC"/>
    <w:rsid w:val="000A2A9E"/>
    <w:rsid w:val="000A5684"/>
    <w:rsid w:val="000B7BCD"/>
    <w:rsid w:val="000C281C"/>
    <w:rsid w:val="000E1D74"/>
    <w:rsid w:val="000F3F34"/>
    <w:rsid w:val="000F61E3"/>
    <w:rsid w:val="000F7EB7"/>
    <w:rsid w:val="00105926"/>
    <w:rsid w:val="001069AE"/>
    <w:rsid w:val="00110E59"/>
    <w:rsid w:val="00111653"/>
    <w:rsid w:val="00111C25"/>
    <w:rsid w:val="001249DE"/>
    <w:rsid w:val="0012673A"/>
    <w:rsid w:val="00144FCE"/>
    <w:rsid w:val="00147065"/>
    <w:rsid w:val="00171B3A"/>
    <w:rsid w:val="001741B1"/>
    <w:rsid w:val="001811C6"/>
    <w:rsid w:val="00190632"/>
    <w:rsid w:val="0019796D"/>
    <w:rsid w:val="001B726A"/>
    <w:rsid w:val="001C3C31"/>
    <w:rsid w:val="001D1737"/>
    <w:rsid w:val="001D37D9"/>
    <w:rsid w:val="001D427F"/>
    <w:rsid w:val="001E5831"/>
    <w:rsid w:val="002248EC"/>
    <w:rsid w:val="00235C8D"/>
    <w:rsid w:val="00236106"/>
    <w:rsid w:val="00241AA5"/>
    <w:rsid w:val="002456E7"/>
    <w:rsid w:val="00260BCD"/>
    <w:rsid w:val="00262183"/>
    <w:rsid w:val="00277F73"/>
    <w:rsid w:val="00281EA1"/>
    <w:rsid w:val="00291922"/>
    <w:rsid w:val="002A0924"/>
    <w:rsid w:val="002D3EB7"/>
    <w:rsid w:val="002D4590"/>
    <w:rsid w:val="002D6194"/>
    <w:rsid w:val="002E01A1"/>
    <w:rsid w:val="00313C04"/>
    <w:rsid w:val="003224E8"/>
    <w:rsid w:val="00326108"/>
    <w:rsid w:val="00331C7C"/>
    <w:rsid w:val="003413A0"/>
    <w:rsid w:val="00344540"/>
    <w:rsid w:val="00353F37"/>
    <w:rsid w:val="003A2668"/>
    <w:rsid w:val="003B554E"/>
    <w:rsid w:val="003B65B0"/>
    <w:rsid w:val="003C1E56"/>
    <w:rsid w:val="003C2CF4"/>
    <w:rsid w:val="003C5B71"/>
    <w:rsid w:val="003D184E"/>
    <w:rsid w:val="003E6E12"/>
    <w:rsid w:val="00405627"/>
    <w:rsid w:val="00413353"/>
    <w:rsid w:val="004221C6"/>
    <w:rsid w:val="00423858"/>
    <w:rsid w:val="00423C0B"/>
    <w:rsid w:val="00436A14"/>
    <w:rsid w:val="00455182"/>
    <w:rsid w:val="00455306"/>
    <w:rsid w:val="00456F9C"/>
    <w:rsid w:val="004739E2"/>
    <w:rsid w:val="00491BED"/>
    <w:rsid w:val="00493CCD"/>
    <w:rsid w:val="004B3002"/>
    <w:rsid w:val="004E1C69"/>
    <w:rsid w:val="004E2F4D"/>
    <w:rsid w:val="004F1CBC"/>
    <w:rsid w:val="00526D40"/>
    <w:rsid w:val="00543814"/>
    <w:rsid w:val="00554E17"/>
    <w:rsid w:val="00555C59"/>
    <w:rsid w:val="0056179D"/>
    <w:rsid w:val="0057029E"/>
    <w:rsid w:val="005818E5"/>
    <w:rsid w:val="005A19AB"/>
    <w:rsid w:val="005B07A8"/>
    <w:rsid w:val="005C260D"/>
    <w:rsid w:val="005D44E5"/>
    <w:rsid w:val="005E50FA"/>
    <w:rsid w:val="005F2FB8"/>
    <w:rsid w:val="005F519A"/>
    <w:rsid w:val="00625343"/>
    <w:rsid w:val="00630705"/>
    <w:rsid w:val="00664B81"/>
    <w:rsid w:val="006676C0"/>
    <w:rsid w:val="006742E3"/>
    <w:rsid w:val="006767E6"/>
    <w:rsid w:val="00690D92"/>
    <w:rsid w:val="006A09DD"/>
    <w:rsid w:val="006A73AA"/>
    <w:rsid w:val="006B6894"/>
    <w:rsid w:val="006C2495"/>
    <w:rsid w:val="006D5612"/>
    <w:rsid w:val="006E768C"/>
    <w:rsid w:val="006F2770"/>
    <w:rsid w:val="0071304E"/>
    <w:rsid w:val="00715ADA"/>
    <w:rsid w:val="00735B45"/>
    <w:rsid w:val="00743360"/>
    <w:rsid w:val="00743C45"/>
    <w:rsid w:val="00780B91"/>
    <w:rsid w:val="007954A3"/>
    <w:rsid w:val="007A7BEC"/>
    <w:rsid w:val="007C0F66"/>
    <w:rsid w:val="007C46E7"/>
    <w:rsid w:val="007D33C5"/>
    <w:rsid w:val="007E6238"/>
    <w:rsid w:val="00813404"/>
    <w:rsid w:val="00821FBA"/>
    <w:rsid w:val="0084543D"/>
    <w:rsid w:val="0084639D"/>
    <w:rsid w:val="008506AB"/>
    <w:rsid w:val="00862B99"/>
    <w:rsid w:val="00867F55"/>
    <w:rsid w:val="008739E9"/>
    <w:rsid w:val="0087624A"/>
    <w:rsid w:val="008924F3"/>
    <w:rsid w:val="00893926"/>
    <w:rsid w:val="0089544C"/>
    <w:rsid w:val="00895DAC"/>
    <w:rsid w:val="008A4E46"/>
    <w:rsid w:val="008A75B6"/>
    <w:rsid w:val="008B7461"/>
    <w:rsid w:val="008D157D"/>
    <w:rsid w:val="008D18E4"/>
    <w:rsid w:val="008D3037"/>
    <w:rsid w:val="008E11AE"/>
    <w:rsid w:val="008E3BBA"/>
    <w:rsid w:val="00902E1C"/>
    <w:rsid w:val="00910693"/>
    <w:rsid w:val="00914187"/>
    <w:rsid w:val="00914315"/>
    <w:rsid w:val="009155F4"/>
    <w:rsid w:val="00970C41"/>
    <w:rsid w:val="00974510"/>
    <w:rsid w:val="00982F75"/>
    <w:rsid w:val="009845FC"/>
    <w:rsid w:val="009972EB"/>
    <w:rsid w:val="009B0DBC"/>
    <w:rsid w:val="009B66F6"/>
    <w:rsid w:val="009C4AD2"/>
    <w:rsid w:val="009C5F1C"/>
    <w:rsid w:val="009D1700"/>
    <w:rsid w:val="009D3450"/>
    <w:rsid w:val="009F7448"/>
    <w:rsid w:val="00A051C8"/>
    <w:rsid w:val="00A20112"/>
    <w:rsid w:val="00A2446A"/>
    <w:rsid w:val="00A25FF1"/>
    <w:rsid w:val="00A4481D"/>
    <w:rsid w:val="00A50D46"/>
    <w:rsid w:val="00A71642"/>
    <w:rsid w:val="00A72371"/>
    <w:rsid w:val="00A748CD"/>
    <w:rsid w:val="00AA36A1"/>
    <w:rsid w:val="00AA3CA5"/>
    <w:rsid w:val="00AB67F7"/>
    <w:rsid w:val="00AC2538"/>
    <w:rsid w:val="00AD23D7"/>
    <w:rsid w:val="00AD31E3"/>
    <w:rsid w:val="00AE26B6"/>
    <w:rsid w:val="00AE5312"/>
    <w:rsid w:val="00AE656C"/>
    <w:rsid w:val="00AF0A5F"/>
    <w:rsid w:val="00B027C8"/>
    <w:rsid w:val="00B05548"/>
    <w:rsid w:val="00B14396"/>
    <w:rsid w:val="00B14A54"/>
    <w:rsid w:val="00B17B9E"/>
    <w:rsid w:val="00B25BE6"/>
    <w:rsid w:val="00B517F1"/>
    <w:rsid w:val="00B64A5E"/>
    <w:rsid w:val="00B87271"/>
    <w:rsid w:val="00B90107"/>
    <w:rsid w:val="00BA70B0"/>
    <w:rsid w:val="00BB2CC1"/>
    <w:rsid w:val="00BB66DE"/>
    <w:rsid w:val="00BC6C7F"/>
    <w:rsid w:val="00BC6E92"/>
    <w:rsid w:val="00BE4F12"/>
    <w:rsid w:val="00BE6B1D"/>
    <w:rsid w:val="00BF3F5F"/>
    <w:rsid w:val="00C01170"/>
    <w:rsid w:val="00C035FB"/>
    <w:rsid w:val="00C10005"/>
    <w:rsid w:val="00C12980"/>
    <w:rsid w:val="00C136D2"/>
    <w:rsid w:val="00C15242"/>
    <w:rsid w:val="00C35085"/>
    <w:rsid w:val="00C475CB"/>
    <w:rsid w:val="00C543C6"/>
    <w:rsid w:val="00C579F7"/>
    <w:rsid w:val="00C613FB"/>
    <w:rsid w:val="00C7276A"/>
    <w:rsid w:val="00C8694C"/>
    <w:rsid w:val="00C922C9"/>
    <w:rsid w:val="00CC11B0"/>
    <w:rsid w:val="00CC4005"/>
    <w:rsid w:val="00CD1D4D"/>
    <w:rsid w:val="00CE2951"/>
    <w:rsid w:val="00CE7A06"/>
    <w:rsid w:val="00CF3518"/>
    <w:rsid w:val="00D044DE"/>
    <w:rsid w:val="00D12165"/>
    <w:rsid w:val="00D51AFF"/>
    <w:rsid w:val="00D55F56"/>
    <w:rsid w:val="00D62A4D"/>
    <w:rsid w:val="00D96470"/>
    <w:rsid w:val="00DA1A33"/>
    <w:rsid w:val="00DA5FF2"/>
    <w:rsid w:val="00DD28F0"/>
    <w:rsid w:val="00DD6EE9"/>
    <w:rsid w:val="00DE3D63"/>
    <w:rsid w:val="00DE530B"/>
    <w:rsid w:val="00E149B5"/>
    <w:rsid w:val="00E15F4E"/>
    <w:rsid w:val="00E36CB1"/>
    <w:rsid w:val="00E408B0"/>
    <w:rsid w:val="00E42B9B"/>
    <w:rsid w:val="00E43362"/>
    <w:rsid w:val="00E53D9D"/>
    <w:rsid w:val="00E61E7A"/>
    <w:rsid w:val="00E66F6B"/>
    <w:rsid w:val="00E81B7E"/>
    <w:rsid w:val="00EB1FC2"/>
    <w:rsid w:val="00EE44CC"/>
    <w:rsid w:val="00F01287"/>
    <w:rsid w:val="00F21A27"/>
    <w:rsid w:val="00F2358D"/>
    <w:rsid w:val="00F34271"/>
    <w:rsid w:val="00F347AF"/>
    <w:rsid w:val="00F40EA0"/>
    <w:rsid w:val="00F52FDD"/>
    <w:rsid w:val="00F72DF9"/>
    <w:rsid w:val="00F76B8C"/>
    <w:rsid w:val="00F8784B"/>
    <w:rsid w:val="00FA12CF"/>
    <w:rsid w:val="00FB1789"/>
    <w:rsid w:val="00FB51D3"/>
    <w:rsid w:val="00FB7242"/>
    <w:rsid w:val="00FC42BB"/>
    <w:rsid w:val="00FC72F7"/>
    <w:rsid w:val="00FD6C8C"/>
    <w:rsid w:val="00FD74EB"/>
    <w:rsid w:val="00FD793E"/>
    <w:rsid w:val="00FF0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FDA1A"/>
  <w15:chartTrackingRefBased/>
  <w15:docId w15:val="{8C7B31CA-B58B-4513-B966-9D2D1CAF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741B1"/>
    <w:pPr>
      <w:snapToGrid w:val="0"/>
      <w:jc w:val="left"/>
    </w:pPr>
    <w:rPr>
      <w:sz w:val="18"/>
      <w:szCs w:val="18"/>
    </w:rPr>
  </w:style>
  <w:style w:type="character" w:customStyle="1" w:styleId="FootnoteTextChar">
    <w:name w:val="Footnote Text Char"/>
    <w:basedOn w:val="DefaultParagraphFont"/>
    <w:link w:val="FootnoteText"/>
    <w:uiPriority w:val="99"/>
    <w:semiHidden/>
    <w:rsid w:val="001741B1"/>
    <w:rPr>
      <w:sz w:val="18"/>
      <w:szCs w:val="18"/>
    </w:rPr>
  </w:style>
  <w:style w:type="character" w:styleId="FootnoteReference">
    <w:name w:val="footnote reference"/>
    <w:basedOn w:val="DefaultParagraphFont"/>
    <w:uiPriority w:val="99"/>
    <w:semiHidden/>
    <w:unhideWhenUsed/>
    <w:rsid w:val="001741B1"/>
    <w:rPr>
      <w:vertAlign w:val="superscript"/>
    </w:rPr>
  </w:style>
  <w:style w:type="character" w:styleId="Emphasis">
    <w:name w:val="Emphasis"/>
    <w:basedOn w:val="DefaultParagraphFont"/>
    <w:uiPriority w:val="20"/>
    <w:qFormat/>
    <w:rsid w:val="00405627"/>
    <w:rPr>
      <w:i/>
      <w:iCs/>
    </w:rPr>
  </w:style>
  <w:style w:type="character" w:styleId="Strong">
    <w:name w:val="Strong"/>
    <w:basedOn w:val="DefaultParagraphFont"/>
    <w:uiPriority w:val="22"/>
    <w:qFormat/>
    <w:rsid w:val="00405627"/>
    <w:rPr>
      <w:b/>
      <w:bCs/>
    </w:rPr>
  </w:style>
  <w:style w:type="paragraph" w:styleId="Header">
    <w:name w:val="header"/>
    <w:basedOn w:val="Normal"/>
    <w:link w:val="HeaderChar"/>
    <w:uiPriority w:val="99"/>
    <w:unhideWhenUsed/>
    <w:rsid w:val="006A73A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A73AA"/>
    <w:rPr>
      <w:sz w:val="18"/>
      <w:szCs w:val="18"/>
    </w:rPr>
  </w:style>
  <w:style w:type="paragraph" w:styleId="Footer">
    <w:name w:val="footer"/>
    <w:basedOn w:val="Normal"/>
    <w:link w:val="FooterChar"/>
    <w:uiPriority w:val="99"/>
    <w:unhideWhenUsed/>
    <w:rsid w:val="006A73A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A73AA"/>
    <w:rPr>
      <w:sz w:val="18"/>
      <w:szCs w:val="18"/>
    </w:rPr>
  </w:style>
  <w:style w:type="character" w:styleId="Hyperlink">
    <w:name w:val="Hyperlink"/>
    <w:basedOn w:val="DefaultParagraphFont"/>
    <w:uiPriority w:val="99"/>
    <w:unhideWhenUsed/>
    <w:rsid w:val="00110E59"/>
    <w:rPr>
      <w:color w:val="0563C1" w:themeColor="hyperlink"/>
      <w:u w:val="single"/>
    </w:rPr>
  </w:style>
  <w:style w:type="character" w:styleId="UnresolvedMention">
    <w:name w:val="Unresolved Mention"/>
    <w:basedOn w:val="DefaultParagraphFont"/>
    <w:uiPriority w:val="99"/>
    <w:semiHidden/>
    <w:unhideWhenUsed/>
    <w:rsid w:val="00110E59"/>
    <w:rPr>
      <w:color w:val="605E5C"/>
      <w:shd w:val="clear" w:color="auto" w:fill="E1DFDD"/>
    </w:rPr>
  </w:style>
  <w:style w:type="character" w:styleId="CommentReference">
    <w:name w:val="annotation reference"/>
    <w:basedOn w:val="DefaultParagraphFont"/>
    <w:uiPriority w:val="99"/>
    <w:semiHidden/>
    <w:unhideWhenUsed/>
    <w:rsid w:val="00DD28F0"/>
    <w:rPr>
      <w:sz w:val="21"/>
      <w:szCs w:val="21"/>
    </w:rPr>
  </w:style>
  <w:style w:type="paragraph" w:styleId="CommentText">
    <w:name w:val="annotation text"/>
    <w:basedOn w:val="Normal"/>
    <w:link w:val="CommentTextChar"/>
    <w:uiPriority w:val="99"/>
    <w:semiHidden/>
    <w:unhideWhenUsed/>
    <w:rsid w:val="00DD28F0"/>
    <w:pPr>
      <w:jc w:val="left"/>
    </w:pPr>
  </w:style>
  <w:style w:type="character" w:customStyle="1" w:styleId="CommentTextChar">
    <w:name w:val="Comment Text Char"/>
    <w:basedOn w:val="DefaultParagraphFont"/>
    <w:link w:val="CommentText"/>
    <w:uiPriority w:val="99"/>
    <w:semiHidden/>
    <w:rsid w:val="00DD28F0"/>
  </w:style>
  <w:style w:type="paragraph" w:styleId="CommentSubject">
    <w:name w:val="annotation subject"/>
    <w:basedOn w:val="CommentText"/>
    <w:next w:val="CommentText"/>
    <w:link w:val="CommentSubjectChar"/>
    <w:uiPriority w:val="99"/>
    <w:semiHidden/>
    <w:unhideWhenUsed/>
    <w:rsid w:val="00DD28F0"/>
    <w:rPr>
      <w:b/>
      <w:bCs/>
    </w:rPr>
  </w:style>
  <w:style w:type="character" w:customStyle="1" w:styleId="CommentSubjectChar">
    <w:name w:val="Comment Subject Char"/>
    <w:basedOn w:val="CommentTextChar"/>
    <w:link w:val="CommentSubject"/>
    <w:uiPriority w:val="99"/>
    <w:semiHidden/>
    <w:rsid w:val="00DD28F0"/>
    <w:rPr>
      <w:b/>
      <w:bCs/>
    </w:rPr>
  </w:style>
  <w:style w:type="table" w:styleId="TableGrid">
    <w:name w:val="Table Grid"/>
    <w:basedOn w:val="TableNormal"/>
    <w:uiPriority w:val="39"/>
    <w:rsid w:val="00A44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B554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1E5831"/>
    <w:pPr>
      <w:autoSpaceDE w:val="0"/>
      <w:autoSpaceDN w:val="0"/>
      <w:adjustRightInd w:val="0"/>
    </w:pPr>
    <w:rPr>
      <w:rFonts w:ascii="微軟正黑體" w:eastAsia="微軟正黑體" w:cs="微軟正黑體"/>
      <w:color w:val="000000"/>
      <w:kern w:val="0"/>
      <w:sz w:val="24"/>
      <w:szCs w:val="24"/>
      <w:lang w:val="en-HK"/>
    </w:rPr>
  </w:style>
  <w:style w:type="paragraph" w:styleId="ListParagraph">
    <w:name w:val="List Paragraph"/>
    <w:basedOn w:val="Normal"/>
    <w:uiPriority w:val="34"/>
    <w:qFormat/>
    <w:rsid w:val="003D184E"/>
    <w:pPr>
      <w:ind w:left="720"/>
      <w:contextualSpacing/>
    </w:pPr>
  </w:style>
  <w:style w:type="paragraph" w:styleId="HTMLPreformatted">
    <w:name w:val="HTML Preformatted"/>
    <w:basedOn w:val="Normal"/>
    <w:link w:val="HTMLPreformattedChar"/>
    <w:uiPriority w:val="99"/>
    <w:semiHidden/>
    <w:unhideWhenUsed/>
    <w:rsid w:val="00B64A5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4A5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374498">
      <w:bodyDiv w:val="1"/>
      <w:marLeft w:val="0"/>
      <w:marRight w:val="0"/>
      <w:marTop w:val="0"/>
      <w:marBottom w:val="0"/>
      <w:divBdr>
        <w:top w:val="none" w:sz="0" w:space="0" w:color="auto"/>
        <w:left w:val="none" w:sz="0" w:space="0" w:color="auto"/>
        <w:bottom w:val="none" w:sz="0" w:space="0" w:color="auto"/>
        <w:right w:val="none" w:sz="0" w:space="0" w:color="auto"/>
      </w:divBdr>
    </w:div>
    <w:div w:id="602760445">
      <w:bodyDiv w:val="1"/>
      <w:marLeft w:val="0"/>
      <w:marRight w:val="0"/>
      <w:marTop w:val="0"/>
      <w:marBottom w:val="0"/>
      <w:divBdr>
        <w:top w:val="none" w:sz="0" w:space="0" w:color="auto"/>
        <w:left w:val="none" w:sz="0" w:space="0" w:color="auto"/>
        <w:bottom w:val="none" w:sz="0" w:space="0" w:color="auto"/>
        <w:right w:val="none" w:sz="0" w:space="0" w:color="auto"/>
      </w:divBdr>
    </w:div>
    <w:div w:id="781726250">
      <w:bodyDiv w:val="1"/>
      <w:marLeft w:val="0"/>
      <w:marRight w:val="0"/>
      <w:marTop w:val="0"/>
      <w:marBottom w:val="0"/>
      <w:divBdr>
        <w:top w:val="none" w:sz="0" w:space="0" w:color="auto"/>
        <w:left w:val="none" w:sz="0" w:space="0" w:color="auto"/>
        <w:bottom w:val="none" w:sz="0" w:space="0" w:color="auto"/>
        <w:right w:val="none" w:sz="0" w:space="0" w:color="auto"/>
      </w:divBdr>
    </w:div>
    <w:div w:id="1334379951">
      <w:bodyDiv w:val="1"/>
      <w:marLeft w:val="0"/>
      <w:marRight w:val="0"/>
      <w:marTop w:val="0"/>
      <w:marBottom w:val="0"/>
      <w:divBdr>
        <w:top w:val="none" w:sz="0" w:space="0" w:color="auto"/>
        <w:left w:val="none" w:sz="0" w:space="0" w:color="auto"/>
        <w:bottom w:val="none" w:sz="0" w:space="0" w:color="auto"/>
        <w:right w:val="none" w:sz="0" w:space="0" w:color="auto"/>
      </w:divBdr>
    </w:div>
    <w:div w:id="1406420415">
      <w:bodyDiv w:val="1"/>
      <w:marLeft w:val="0"/>
      <w:marRight w:val="0"/>
      <w:marTop w:val="0"/>
      <w:marBottom w:val="0"/>
      <w:divBdr>
        <w:top w:val="none" w:sz="0" w:space="0" w:color="auto"/>
        <w:left w:val="none" w:sz="0" w:space="0" w:color="auto"/>
        <w:bottom w:val="none" w:sz="0" w:space="0" w:color="auto"/>
        <w:right w:val="none" w:sz="0" w:space="0" w:color="auto"/>
      </w:divBdr>
    </w:div>
    <w:div w:id="1421102310">
      <w:bodyDiv w:val="1"/>
      <w:marLeft w:val="0"/>
      <w:marRight w:val="0"/>
      <w:marTop w:val="0"/>
      <w:marBottom w:val="0"/>
      <w:divBdr>
        <w:top w:val="none" w:sz="0" w:space="0" w:color="auto"/>
        <w:left w:val="none" w:sz="0" w:space="0" w:color="auto"/>
        <w:bottom w:val="none" w:sz="0" w:space="0" w:color="auto"/>
        <w:right w:val="none" w:sz="0" w:space="0" w:color="auto"/>
      </w:divBdr>
      <w:divsChild>
        <w:div w:id="1796481533">
          <w:marLeft w:val="0"/>
          <w:marRight w:val="0"/>
          <w:marTop w:val="0"/>
          <w:marBottom w:val="0"/>
          <w:divBdr>
            <w:top w:val="none" w:sz="0" w:space="0" w:color="auto"/>
            <w:left w:val="none" w:sz="0" w:space="0" w:color="auto"/>
            <w:bottom w:val="none" w:sz="0" w:space="0" w:color="auto"/>
            <w:right w:val="none" w:sz="0" w:space="0" w:color="auto"/>
          </w:divBdr>
        </w:div>
        <w:div w:id="2005468392">
          <w:marLeft w:val="0"/>
          <w:marRight w:val="0"/>
          <w:marTop w:val="0"/>
          <w:marBottom w:val="0"/>
          <w:divBdr>
            <w:top w:val="none" w:sz="0" w:space="0" w:color="auto"/>
            <w:left w:val="none" w:sz="0" w:space="0" w:color="auto"/>
            <w:bottom w:val="none" w:sz="0" w:space="0" w:color="auto"/>
            <w:right w:val="none" w:sz="0" w:space="0" w:color="auto"/>
          </w:divBdr>
        </w:div>
      </w:divsChild>
    </w:div>
    <w:div w:id="1561556595">
      <w:bodyDiv w:val="1"/>
      <w:marLeft w:val="0"/>
      <w:marRight w:val="0"/>
      <w:marTop w:val="0"/>
      <w:marBottom w:val="0"/>
      <w:divBdr>
        <w:top w:val="none" w:sz="0" w:space="0" w:color="auto"/>
        <w:left w:val="none" w:sz="0" w:space="0" w:color="auto"/>
        <w:bottom w:val="none" w:sz="0" w:space="0" w:color="auto"/>
        <w:right w:val="none" w:sz="0" w:space="0" w:color="auto"/>
      </w:divBdr>
    </w:div>
    <w:div w:id="1588879166">
      <w:bodyDiv w:val="1"/>
      <w:marLeft w:val="0"/>
      <w:marRight w:val="0"/>
      <w:marTop w:val="0"/>
      <w:marBottom w:val="0"/>
      <w:divBdr>
        <w:top w:val="none" w:sz="0" w:space="0" w:color="auto"/>
        <w:left w:val="none" w:sz="0" w:space="0" w:color="auto"/>
        <w:bottom w:val="none" w:sz="0" w:space="0" w:color="auto"/>
        <w:right w:val="none" w:sz="0" w:space="0" w:color="auto"/>
      </w:divBdr>
      <w:divsChild>
        <w:div w:id="1066759759">
          <w:marLeft w:val="0"/>
          <w:marRight w:val="0"/>
          <w:marTop w:val="0"/>
          <w:marBottom w:val="0"/>
          <w:divBdr>
            <w:top w:val="none" w:sz="0" w:space="0" w:color="auto"/>
            <w:left w:val="none" w:sz="0" w:space="0" w:color="auto"/>
            <w:bottom w:val="none" w:sz="0" w:space="0" w:color="auto"/>
            <w:right w:val="none" w:sz="0" w:space="0" w:color="auto"/>
          </w:divBdr>
        </w:div>
      </w:divsChild>
    </w:div>
    <w:div w:id="1760179325">
      <w:bodyDiv w:val="1"/>
      <w:marLeft w:val="0"/>
      <w:marRight w:val="0"/>
      <w:marTop w:val="0"/>
      <w:marBottom w:val="0"/>
      <w:divBdr>
        <w:top w:val="none" w:sz="0" w:space="0" w:color="auto"/>
        <w:left w:val="none" w:sz="0" w:space="0" w:color="auto"/>
        <w:bottom w:val="none" w:sz="0" w:space="0" w:color="auto"/>
        <w:right w:val="none" w:sz="0" w:space="0" w:color="auto"/>
      </w:divBdr>
    </w:div>
    <w:div w:id="212599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www.sfc.hk/en/Regulatory-functions/Products/List-of-Eligible-Collective-Investment-Schemes-under-new-CIE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fc.hk/en/Regulatory-functions/Products/List-of-Eligible-Collective-Investment-Schemes-under-new-CIES"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2025-08-04T00:00:00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476232-DD87-4956-B3BD-394BF2254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7</Pages>
  <Words>6744</Words>
  <Characters>7217</Characters>
  <Application>Microsoft Office Word</Application>
  <DocSecurity>0</DocSecurity>
  <Lines>400</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Choi Cheuk Heng Zenith</cp:lastModifiedBy>
  <cp:revision>54</cp:revision>
  <cp:lastPrinted>2025-09-15T11:30:00Z</cp:lastPrinted>
  <dcterms:created xsi:type="dcterms:W3CDTF">2026-04-21T09:24:00Z</dcterms:created>
  <dcterms:modified xsi:type="dcterms:W3CDTF">2026-04-22T09:24:00Z</dcterms:modified>
</cp:coreProperties>
</file>